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mērķa grupa ir iedzīvotāji, vietējie un starptautiskie tūristi, kultūras infrastruktūras objektu apmeklētāji un saistīto pakalpojumu sniedzēji.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"tai skaitā personas ar invalidiāti"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mērķa grupa ir iedzīvotāji, vietējie un starptautiskie tūristi, kultūras infrastruktūras objektu apmeklētāji, tai skaitā personas ar invalidiāti, un saistīto pakalpojumu sniedzēji.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Poļina Rožkova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h) apakšpunktu ar "nodrošināt fizisku vides piekļūstamību visiem cilvēkiem, tai skaitā cilvēkiem ar dažāda veida funkcionāliem traucējumiem, ievērojot LBN 200-21. "  un labās prakses darbības papildināt ar Valsts kontroles nostādni / situācijas vīziju "būtisks priekšnoteikums vides piekļūstamībai"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 nodrošināt fizisku vides piekļūstamību visiem cilvēkiem, tai skaitā cilvēkiem ar dažāda veida funkcionāliem traucējumiem, ievērjot LBN 200-21. Papildus būvnormatīvā LBN 200-21 noteiktajam,  projekta ietvaros tiks īstenotas labās prakses darbības, kas ir būtisks priekšnoteikums vides piekļūstamībai visiem cilvēkiem, tai skaitā cilvēkiem ar funkcionāliem traucējumiem;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Poļina Rožkova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01.08.2023. 10.38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01.08.2023. 10.38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Atzinumi_23-TA-1258.docx</dc:title>
</cp:coreProperties>
</file>

<file path=docProps/custom.xml><?xml version="1.0" encoding="utf-8"?>
<Properties xmlns="http://schemas.openxmlformats.org/officeDocument/2006/custom-properties" xmlns:vt="http://schemas.openxmlformats.org/officeDocument/2006/docPropsVTypes"/>
</file>