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Profesionālās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Valsts piešķir finansējumu studiju nodrošināšanai valsts koledžām Augstskolu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arī Profesionālās izglītības likumā nebūtu jāietver regulējums par to, kā valsts piešķir finansējumu studiju nodrošināšanai valsts koledžām, jo tikai atsauce uz Augstskolu likumā noteikto kārtību var apgrūtināt tiesību normu piemērošanu, it īpaši ņemot vērā, ka Augstskolu likumā ir runa par valsts finansējuma piešķiršanu augstskolām, nevis koledžām.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sadaļu, ņemot vērā, ka šajā sadaļā apraksta projekta ietekmi uz privāto sektoru, nevis uz publisko pārvaldi. Turklāt valsts koledžai nav juridiskas personas statusa; tā ir tiešās pārvaldes iestāde vai valsts kapitālsabiedrība.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24.09.2025.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24.09.2025.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Atzinumi_25-TA-1840.docx</dc:title>
</cp:coreProperties>
</file>

<file path=docProps/custom.xml><?xml version="1.0" encoding="utf-8"?>
<Properties xmlns="http://schemas.openxmlformats.org/officeDocument/2006/custom-properties" xmlns:vt="http://schemas.openxmlformats.org/officeDocument/2006/docPropsVTypes"/>
</file>