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Calibri" w:hAnsi="Calibri" w:eastAsia="Times New Roman" w:cs="Calibri"/>
          <w:b/>
          <w:bCs/>
          <w:color w:val="000000"/>
          <w:lang w:eastAsia="lv-LV"/>
        </w:rPr>
        <w:t>No:</w:t>
      </w:r>
      <w:r w:rsidRPr="0022744A">
        <w:rPr>
          <w:rFonts w:ascii="Calibri" w:hAnsi="Calibri" w:eastAsia="Times New Roman" w:cs="Calibri"/>
          <w:color w:val="000000"/>
          <w:lang w:eastAsia="lv-LV"/>
        </w:rPr>
        <w:t xml:space="preserve"> Inguna Dancīte &lt;inguna.dancite@fm.gov.lv&gt; </w:t>
      </w:r>
      <w:proofErr w:type="spellStart"/>
      <w:r w:rsidRPr="0022744A">
        <w:rPr>
          <w:rFonts w:ascii="Calibri" w:hAnsi="Calibri" w:eastAsia="Times New Roman" w:cs="Calibri"/>
          <w:color w:val="000000"/>
          <w:lang w:eastAsia="lv-LV"/>
        </w:rPr>
        <w:t>vārdāPasts</w:t>
      </w:r>
      <w:proofErr w:type="spellEnd"/>
      <w:r w:rsidRPr="0022744A">
        <w:rPr>
          <w:rFonts w:ascii="Calibri" w:hAnsi="Calibri" w:eastAsia="Times New Roman" w:cs="Calibri"/>
          <w:color w:val="000000"/>
          <w:lang w:eastAsia="lv-LV"/>
        </w:rPr>
        <w:t xml:space="preserve"> &lt;Pasts@fm.gov.lv&gt;</w:t>
      </w:r>
      <w:r w:rsidRPr="0022744A">
        <w:rPr>
          <w:rFonts w:ascii="Calibri" w:hAnsi="Calibri" w:eastAsia="Times New Roman" w:cs="Calibri"/>
          <w:color w:val="000000"/>
          <w:lang w:eastAsia="lv-LV"/>
        </w:rPr>
        <w:br/>
      </w:r>
      <w:r w:rsidRPr="0022744A">
        <w:rPr>
          <w:rFonts w:ascii="Calibri" w:hAnsi="Calibri" w:eastAsia="Times New Roman" w:cs="Calibri"/>
          <w:b/>
          <w:bCs/>
          <w:color w:val="000000"/>
          <w:lang w:eastAsia="lv-LV"/>
        </w:rPr>
        <w:t>Nosūtīts:</w:t>
      </w:r>
      <w:r w:rsidRPr="0022744A">
        <w:rPr>
          <w:rFonts w:ascii="Calibri" w:hAnsi="Calibri" w:eastAsia="Times New Roman" w:cs="Calibri"/>
          <w:color w:val="000000"/>
          <w:lang w:eastAsia="lv-LV"/>
        </w:rPr>
        <w:t> pirmdiena, 2020. gada 28. decembris 11:47</w:t>
      </w:r>
      <w:r w:rsidRPr="0022744A">
        <w:rPr>
          <w:rFonts w:ascii="Calibri" w:hAnsi="Calibri" w:eastAsia="Times New Roman" w:cs="Calibri"/>
          <w:color w:val="000000"/>
          <w:lang w:eastAsia="lv-LV"/>
        </w:rPr>
        <w:br/>
      </w:r>
      <w:r w:rsidRPr="0022744A">
        <w:rPr>
          <w:rFonts w:ascii="Calibri" w:hAnsi="Calibri" w:eastAsia="Times New Roman" w:cs="Calibri"/>
          <w:b/>
          <w:bCs/>
          <w:color w:val="000000"/>
          <w:lang w:eastAsia="lv-LV"/>
        </w:rPr>
        <w:t>Kam:</w:t>
      </w:r>
      <w:r w:rsidRPr="0022744A">
        <w:rPr>
          <w:rFonts w:ascii="Calibri" w:hAnsi="Calibri" w:eastAsia="Times New Roman" w:cs="Calibri"/>
          <w:color w:val="000000"/>
          <w:lang w:eastAsia="lv-LV"/>
        </w:rPr>
        <w:t> SM Pasts</w:t>
      </w:r>
      <w:r w:rsidRPr="0022744A">
        <w:rPr>
          <w:rFonts w:ascii="Calibri" w:hAnsi="Calibri" w:eastAsia="Times New Roman" w:cs="Calibri"/>
          <w:color w:val="000000"/>
          <w:lang w:eastAsia="lv-LV"/>
        </w:rPr>
        <w:br/>
      </w:r>
      <w:r w:rsidRPr="0022744A">
        <w:rPr>
          <w:rFonts w:ascii="Calibri" w:hAnsi="Calibri" w:eastAsia="Times New Roman" w:cs="Calibri"/>
          <w:b/>
          <w:bCs/>
          <w:color w:val="000000"/>
          <w:lang w:eastAsia="lv-LV"/>
        </w:rPr>
        <w:t>Kopija:</w:t>
      </w:r>
      <w:r w:rsidRPr="0022744A">
        <w:rPr>
          <w:rFonts w:ascii="Calibri" w:hAnsi="Calibri" w:eastAsia="Times New Roman" w:cs="Calibri"/>
          <w:color w:val="000000"/>
          <w:lang w:eastAsia="lv-LV"/>
        </w:rPr>
        <w:t xml:space="preserve"> Elita Birjukovska; Sabīne </w:t>
      </w:r>
      <w:proofErr w:type="spellStart"/>
      <w:r w:rsidRPr="0022744A">
        <w:rPr>
          <w:rFonts w:ascii="Calibri" w:hAnsi="Calibri" w:eastAsia="Times New Roman" w:cs="Calibri"/>
          <w:color w:val="000000"/>
          <w:lang w:eastAsia="lv-LV"/>
        </w:rPr>
        <w:t>Ālmane</w:t>
      </w:r>
      <w:proofErr w:type="spellEnd"/>
      <w:r w:rsidRPr="0022744A">
        <w:rPr>
          <w:rFonts w:ascii="Calibri" w:hAnsi="Calibri" w:eastAsia="Times New Roman" w:cs="Calibri"/>
          <w:color w:val="000000"/>
          <w:lang w:eastAsia="lv-LV"/>
        </w:rPr>
        <w:t xml:space="preserve">; Guna </w:t>
      </w:r>
      <w:proofErr w:type="spellStart"/>
      <w:r w:rsidRPr="0022744A">
        <w:rPr>
          <w:rFonts w:ascii="Calibri" w:hAnsi="Calibri" w:eastAsia="Times New Roman" w:cs="Calibri"/>
          <w:color w:val="000000"/>
          <w:lang w:eastAsia="lv-LV"/>
        </w:rPr>
        <w:t>Federe</w:t>
      </w:r>
      <w:proofErr w:type="spellEnd"/>
      <w:r w:rsidRPr="0022744A">
        <w:rPr>
          <w:rFonts w:ascii="Calibri" w:hAnsi="Calibri" w:eastAsia="Times New Roman" w:cs="Calibri"/>
          <w:color w:val="000000"/>
          <w:lang w:eastAsia="lv-LV"/>
        </w:rPr>
        <w:t xml:space="preserve">; Alvis Bless; Zane Liede; Inga Bāliņa; Elīna </w:t>
      </w:r>
      <w:proofErr w:type="spellStart"/>
      <w:r w:rsidRPr="0022744A">
        <w:rPr>
          <w:rFonts w:ascii="Calibri" w:hAnsi="Calibri" w:eastAsia="Times New Roman" w:cs="Calibri"/>
          <w:color w:val="000000"/>
          <w:lang w:eastAsia="lv-LV"/>
        </w:rPr>
        <w:t>Gusāre</w:t>
      </w:r>
      <w:proofErr w:type="spellEnd"/>
      <w:r w:rsidRPr="0022744A">
        <w:rPr>
          <w:rFonts w:ascii="Calibri" w:hAnsi="Calibri" w:eastAsia="Times New Roman" w:cs="Calibri"/>
          <w:color w:val="000000"/>
          <w:lang w:eastAsia="lv-LV"/>
        </w:rPr>
        <w:t xml:space="preserve">; Inga Avotiņa; Jeļena </w:t>
      </w:r>
      <w:proofErr w:type="spellStart"/>
      <w:r w:rsidRPr="0022744A">
        <w:rPr>
          <w:rFonts w:ascii="Calibri" w:hAnsi="Calibri" w:eastAsia="Times New Roman" w:cs="Calibri"/>
          <w:color w:val="000000"/>
          <w:lang w:eastAsia="lv-LV"/>
        </w:rPr>
        <w:t>Kuhaļska</w:t>
      </w:r>
      <w:proofErr w:type="spellEnd"/>
      <w:r w:rsidRPr="0022744A">
        <w:rPr>
          <w:rFonts w:ascii="Calibri" w:hAnsi="Calibri" w:eastAsia="Times New Roman" w:cs="Calibri"/>
          <w:color w:val="000000"/>
          <w:lang w:eastAsia="lv-LV"/>
        </w:rPr>
        <w:t>; Ginta Elksnīte; Daina Dzelme-Urbāne; Elmārs Krišjānis; 'Janis.Ungurs@iaui.gov.lv'; 'Liga.Rozenberga@vni.lv'</w:t>
      </w:r>
      <w:r w:rsidRPr="0022744A">
        <w:rPr>
          <w:rFonts w:ascii="Calibri" w:hAnsi="Calibri" w:eastAsia="Times New Roman" w:cs="Calibri"/>
          <w:color w:val="000000"/>
          <w:lang w:eastAsia="lv-LV"/>
        </w:rPr>
        <w:br/>
      </w:r>
      <w:r w:rsidRPr="0022744A">
        <w:rPr>
          <w:rFonts w:ascii="Calibri" w:hAnsi="Calibri" w:eastAsia="Times New Roman" w:cs="Calibri"/>
          <w:b/>
          <w:bCs/>
          <w:color w:val="000000"/>
          <w:lang w:eastAsia="lv-LV"/>
        </w:rPr>
        <w:t>Tēma:</w:t>
      </w:r>
      <w:r w:rsidRPr="0022744A">
        <w:rPr>
          <w:rFonts w:ascii="Calibri" w:hAnsi="Calibri" w:eastAsia="Times New Roman" w:cs="Calibri"/>
          <w:color w:val="000000"/>
          <w:lang w:eastAsia="lv-LV"/>
        </w:rPr>
        <w:t> FM atzinums par precizēto TAP, VSS-765</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Calibri" w:hAnsi="Calibri" w:eastAsia="Times New Roman" w:cs="Calibri"/>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28.12.2020.  Nr. 10.1-6/7-1/1268</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Labdien!</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Finanšu ministrija atbilstoši kompetencei ir izskatījusi Satiksmes ministrijas precizēto likumprojektu "Elektronisko sakaru likums" (VSS-765) (turpmāk – likumprojekts), tā sākotnējās ietekmes novērtējuma ziņojumu (anotāciju) un izziņu par atzinumos sniegtajiem iebildumiem, un izsaka tālāk minētos iebildumus un priekšlikumu.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b/>
          <w:bCs/>
          <w:color w:val="212121"/>
          <w:sz w:val="24"/>
          <w:szCs w:val="24"/>
          <w:lang w:eastAsia="lv-LV"/>
        </w:rPr>
        <w:t>Iebildumi.</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1. Uzskatām, ka Finanšu ministrijas šā gada 28.septembrī atzinuma Nr.12/A-7/5088 (turpmāk – FM atzinums) pirmais iebildums ir ņemts vērā tikai daļēji, jo nav sniegts skaidrojums, kā tieši tiek izpildīts Ministru kabineta 2020.gada 24.marta sēdes protokola Nr.17 22.§ 5.punktā noteiktais, kā arī nav precizēts likumprojekta 69.pants, paredzot, ka kompensācijas tiks nodrošinātas Satiksmes ministrijai pieejamo budžeta līdzekļu ietvaros. Norādām, ka nav atbalstāma tādu likumprojektu virzība, kuru īstenošanai nav atrisināts jautājums par nepieciešamo finansējumu. Attiecīgi lūdzam precizēt anotāciju un likumprojektu.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2. Lūdzam precizēt anotācijas I sadaļas 2.punktā sniegto informāciju, ka 2019.gadā universālā pakalpojuma saistību tīrās izmaksas 360 948 EUR tika kompensētas no valsts budžeta, ņemot vērā, ka saskaņā ar Ekonomikas ministrijas izstrādāto informatīvo ziņojumu “Par SIA “</w:t>
      </w:r>
      <w:proofErr w:type="spellStart"/>
      <w:r w:rsidRPr="0022744A">
        <w:rPr>
          <w:rFonts w:ascii="Times New Roman" w:hAnsi="Times New Roman" w:eastAsia="Times New Roman" w:cs="Times New Roman"/>
          <w:color w:val="212121"/>
          <w:sz w:val="24"/>
          <w:szCs w:val="24"/>
          <w:lang w:eastAsia="lv-LV"/>
        </w:rPr>
        <w:t>Tet</w:t>
      </w:r>
      <w:proofErr w:type="spellEnd"/>
      <w:r w:rsidRPr="0022744A">
        <w:rPr>
          <w:rFonts w:ascii="Times New Roman" w:hAnsi="Times New Roman" w:eastAsia="Times New Roman" w:cs="Times New Roman"/>
          <w:color w:val="212121"/>
          <w:sz w:val="24"/>
          <w:szCs w:val="24"/>
          <w:lang w:eastAsia="lv-LV"/>
        </w:rPr>
        <w:t>” 2019.gadā sniegtā universālā pakalpojuma saistību tīro izmaksu kompensāciju” tīro izmaksu kompensēšanu 360 948 </w:t>
      </w:r>
      <w:proofErr w:type="spellStart"/>
      <w:r w:rsidRPr="0022744A">
        <w:rPr>
          <w:rFonts w:ascii="Times New Roman" w:hAnsi="Times New Roman" w:eastAsia="Times New Roman" w:cs="Times New Roman"/>
          <w:i/>
          <w:iCs/>
          <w:color w:val="212121"/>
          <w:sz w:val="24"/>
          <w:szCs w:val="24"/>
          <w:lang w:eastAsia="lv-LV"/>
        </w:rPr>
        <w:t>euro</w:t>
      </w:r>
      <w:proofErr w:type="spellEnd"/>
      <w:r w:rsidRPr="0022744A">
        <w:rPr>
          <w:rFonts w:ascii="Times New Roman" w:hAnsi="Times New Roman" w:eastAsia="Times New Roman" w:cs="Times New Roman"/>
          <w:color w:val="212121"/>
          <w:sz w:val="24"/>
          <w:szCs w:val="24"/>
          <w:lang w:eastAsia="lv-LV"/>
        </w:rPr>
        <w:t> apmērā paredzēts izpildīt, samazinot Latvijas Republikai dividendēs izmaksājamo SIA “</w:t>
      </w:r>
      <w:proofErr w:type="spellStart"/>
      <w:r w:rsidRPr="0022744A">
        <w:rPr>
          <w:rFonts w:ascii="Times New Roman" w:hAnsi="Times New Roman" w:eastAsia="Times New Roman" w:cs="Times New Roman"/>
          <w:color w:val="212121"/>
          <w:sz w:val="24"/>
          <w:szCs w:val="24"/>
          <w:lang w:eastAsia="lv-LV"/>
        </w:rPr>
        <w:t>Tet</w:t>
      </w:r>
      <w:proofErr w:type="spellEnd"/>
      <w:r w:rsidRPr="0022744A">
        <w:rPr>
          <w:rFonts w:ascii="Times New Roman" w:hAnsi="Times New Roman" w:eastAsia="Times New Roman" w:cs="Times New Roman"/>
          <w:color w:val="212121"/>
          <w:sz w:val="24"/>
          <w:szCs w:val="24"/>
          <w:lang w:eastAsia="lv-LV"/>
        </w:rPr>
        <w:t>” peļņas daļu par 2020.gadu.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3. Lūdzam izziņā iekļaut FM atzinuma otro iebildumu, ar kuru lūdzam anotācijas III sadaļas formu aizpildīt atbilstoši Ministru kabineta 2009.gada 15.decembra instrukcijas Nr.19 “Tiesību akta projekta sākotnējās ietekmes izvērtēšanas kārtība” IV nodaļā noteiktajam, un attiecīgi arī veikt nepieciešamos precizējumus anotācijas III sadaļā.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4. Uzturam FM atzinumā izteikto trešo iebildumu, ievērojot to, ka likumprojektā un tā anotācijā nav veiktas Finanšu ministrijas lūgtās izmaiņas. Vienlaikus vēršam uzmanību, ka anotācijās I sadaļas 2.punktā norādītais, ka: “</w:t>
      </w:r>
      <w:r w:rsidRPr="0022744A">
        <w:rPr>
          <w:rFonts w:ascii="Times New Roman" w:hAnsi="Times New Roman" w:eastAsia="Times New Roman" w:cs="Times New Roman"/>
          <w:i/>
          <w:iCs/>
          <w:color w:val="212121"/>
          <w:sz w:val="24"/>
          <w:szCs w:val="24"/>
          <w:lang w:eastAsia="lv-LV"/>
        </w:rPr>
        <w:t>pastāv minimāla varbūtība, ka radīsies universālā pakalpojuma saistību tīrās izmaksas, kuras jākompensē no valsts budžeta</w:t>
      </w:r>
      <w:r w:rsidRPr="0022744A">
        <w:rPr>
          <w:rFonts w:ascii="Times New Roman" w:hAnsi="Times New Roman" w:eastAsia="Times New Roman" w:cs="Times New Roman"/>
          <w:color w:val="212121"/>
          <w:sz w:val="24"/>
          <w:szCs w:val="24"/>
          <w:lang w:eastAsia="lv-LV"/>
        </w:rPr>
        <w:t>” nav arguments, lai</w:t>
      </w:r>
      <w:r w:rsidRPr="0022744A">
        <w:rPr>
          <w:rFonts w:ascii="Times New Roman" w:hAnsi="Times New Roman" w:eastAsia="Times New Roman" w:cs="Times New Roman"/>
          <w:i/>
          <w:iCs/>
          <w:color w:val="212121"/>
          <w:sz w:val="24"/>
          <w:szCs w:val="24"/>
          <w:lang w:eastAsia="lv-LV"/>
        </w:rPr>
        <w:t> </w:t>
      </w:r>
      <w:r w:rsidRPr="0022744A">
        <w:rPr>
          <w:rFonts w:ascii="Times New Roman" w:hAnsi="Times New Roman" w:eastAsia="Times New Roman" w:cs="Times New Roman"/>
          <w:color w:val="212121"/>
          <w:sz w:val="24"/>
          <w:szCs w:val="24"/>
          <w:lang w:eastAsia="lv-LV"/>
        </w:rPr>
        <w:t xml:space="preserve">likumprojektā paredzēto par Universālā pakalpojuma kompensēšanu no valsts budžeta nevērtētu kā potenciālu komercdarbības atbalstu. Lai nodrošinātu sniegtā komercdarbības atbalsta saderīgumu ar ES iekšējo tirgu, likumprojektā nepieciešams ietvert komercdarbības atbalsta kontroles regulējuma nosacījumus, novēršot nelikumīga komercdarbības atbalsta </w:t>
      </w:r>
      <w:r w:rsidRPr="0022744A">
        <w:rPr>
          <w:rFonts w:ascii="Times New Roman" w:hAnsi="Times New Roman" w:eastAsia="Times New Roman" w:cs="Times New Roman"/>
          <w:color w:val="212121"/>
          <w:sz w:val="24"/>
          <w:szCs w:val="24"/>
          <w:lang w:eastAsia="lv-LV"/>
        </w:rPr>
        <w:lastRenderedPageBreak/>
        <w:t>sniegšanas risku.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 Lūdzam attiecīgo normu skaidrot arī anotācijā.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5. Uzturam FM atzinumā izteikto sesto iebildumu. Likumprojekta 27.panta piektajā daļā noteikts, ka,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 Lūdzam precizēt minēto normu, aizstājot vārdus “izņemot tos gadījumus, kad šajā likumā noteiktais pretējais” ar konkrētām atsaucēm uz normām, kurās noteikti gadījumi, kad nebūtu maksājama atlīdzība par lietošanas tiesību aprobežojumu.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Attiecībā uz tuvas darbības bezvadu piekļuves punktu izvietošanu likumprojekta 29.panta ceturtajā daļā noteikts, ka publiskām un atvasinātām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 No minētās normas nav saprotams, kādos gadījumos publiskām personām būtu jānodrošina operatoriem piekļuvi infrastruktūrai bez maksas un kurs gadījumos – piemērojot vienreizēju maksu, līdz ar to lūdzam skaidrot un precizēt minēto normu. Atkārtoti vēršam uzmanību, ka, ievērojot Publiskas personas finanšu līdzekļu un mantas izšķērdēšanas novēršanas likumā noteiktos principus, publiskām personām un to kapitālsabiedrībām ir pienākums rīkoties ar to finanšu līdzekļiem un mantu likumīgi un lietderīgi, t.sk. manta nododama īpašumā vai lietošanā citai personai par iespējami augstāku cenu.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Tāpat atkārtoti vēršam uzmanību, ka nav pieļaujams, ka nekustamā īpašuma īpašnieka tiesības tiek aprobežotas par labu komersantam - publiskā elektronisko sakaru tīkla īpašniekam vai valdītājam, nesaņemot pienācīgu atlīdzību par nekustamajam īpašumam noteikto aprobežojumu, tādējādi aizskarot nekustamā īpašuma īpašniekam Latvijas Republikas Satversmes 105.pantā noteiktās tiesības uz īpašumu. Līdz ar to, ja atsevišķos gadījumos netiek paredzēta atlīdzība par lietošanas tiesību aprobežojumu, lūdzam papildināt anotāciju ar skaidrojumu par šāda regulējuma iekļaušanu likumprojektā.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6. Precizētā likumprojekta anotācijā norādīts, ka attiecībā uz universālā 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lastRenderedPageBreak/>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w:t>
      </w:r>
      <w:r w:rsidRPr="0022744A">
        <w:rPr>
          <w:rFonts w:ascii="Times New Roman" w:hAnsi="Times New Roman" w:eastAsia="Times New Roman" w:cs="Times New Roman"/>
          <w:i/>
          <w:iCs/>
          <w:color w:val="212121"/>
          <w:sz w:val="24"/>
          <w:szCs w:val="24"/>
          <w:lang w:eastAsia="lv-LV"/>
        </w:rPr>
        <w:t>par publisko iepirkumu un ar ko atceļ Direktīvu 2004/18/EK</w:t>
      </w:r>
      <w:r w:rsidRPr="0022744A">
        <w:rPr>
          <w:rFonts w:ascii="Times New Roman" w:hAnsi="Times New Roman" w:eastAsia="Times New Roman" w:cs="Times New Roman"/>
          <w:color w:val="212121"/>
          <w:sz w:val="24"/>
          <w:szCs w:val="24"/>
          <w:lang w:eastAsia="lv-LV"/>
        </w:rPr>
        <w:t>, kas Latvijas tiesību aktos pārņemta ar PIL) nepiemērošanu attiecībā uz Eiropas Parlamenta un Padomes 2018.gada 11.decembra direktīvā Nr.2018/1972/ES </w:t>
      </w:r>
      <w:r w:rsidRPr="0022744A">
        <w:rPr>
          <w:rFonts w:ascii="Times New Roman" w:hAnsi="Times New Roman" w:eastAsia="Times New Roman" w:cs="Times New Roman"/>
          <w:i/>
          <w:iCs/>
          <w:color w:val="212121"/>
          <w:sz w:val="24"/>
          <w:szCs w:val="24"/>
          <w:lang w:eastAsia="lv-LV"/>
        </w:rPr>
        <w:t>par Eiropas Elektronisko sakaru kodeksa izveidi</w:t>
      </w:r>
      <w:r w:rsidRPr="0022744A">
        <w:rPr>
          <w:rFonts w:ascii="Times New Roman" w:hAnsi="Times New Roman" w:eastAsia="Times New Roman" w:cs="Times New Roman"/>
          <w:color w:val="212121"/>
          <w:sz w:val="24"/>
          <w:szCs w:val="24"/>
          <w:lang w:eastAsia="lv-LV"/>
        </w:rPr>
        <w:t> (kas tiek pārņemta ar likumprojektu) paredzēto universālā pakalpojuma sniedzēja izraudzīšanās procedūras norisi.</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7. Likumprojekta 25.panta ceturtajā daļā ir noteikts, ka, iznomājot publiskas personas nekustamo īpašumu platjoslas elektronisko sakaru nodrošināšanas mērķim, uz nomas līgumu netiek attiecinātas Publiskas personas finanšu līdzekļu un mantas izšķērdēšanas novēršanas likuma 6.1.panta prasības. No minētās normas nav saprotams pamatojums šādas normas iekļaušanai, kā arī nav skaidrs, vai visos gadījumos, kad tiks ierīkotas platjoslas elektronisko sakaru nodrošināšanas mērķim, tiks slēgti nomas līgumi, kā tiks noteikta nomas maksa (vai tiks piemēroti Ministru kabineta 2018.gada 20.februāra noteikumi Nr.97 “Publiskas personas mantas iznomāšanas noteikumi” vai Ministru kabineta 2018.gada 19.jūlija noteikumi Nr.350 “Publiskas personas zemes nomas un apbūves tiesības noteikumi”) un noregulēti pārējie ar nomas līgumu saistītie jautājumi. Lūdzam izvērtēt minētās normas pamatotību un precizēšanu, kā arī papildināt likumprojekta anotāciju ar skaidrojumu.</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8. Lūdzam  FM atzinumā izteiktos iebildumus korekti iekļaut izziņā par atzinumos sniegtajiem iebildumiem (šobrīd Finanšu ministrijas sniegtie iebildumi izziņā ir iekļauti tikai daļēji un pārveidotā veidā), jo šobrīd tie tikai daļēji atspoguļoti izziņas par atzinumos sniegtajiem iebildumiem I un II sadaļas trešajā kolonnā un par visiem iebildumiem ceturtajā kolonnā nav sniegts Satiksmes ministrijas skaidrojums un norāde par to, vai iebildums ir ņemts vērā.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xml:space="preserve">9. Precizētā likumprojekta “Elektronisko sakaru likums” 104.panta ceturtā daļa nosaka elektronisko sakaru komersantu pienākumu, pamatojoties uz Izložu un azartspēļu uzraudzības inspekcijas lēmumu, ierobežot piekļuvi nelicencēta interaktīvo azartspēļu organizētāja interneta mājas lapai. Taču katra elektronisko sakaru komersanta tehnoloģiskās iespējas ir atšķirīgas, piemēram, liedzot mājaslapas domēna izmantošanu, ierobežojot mājaslapas </w:t>
      </w:r>
      <w:proofErr w:type="spellStart"/>
      <w:r w:rsidRPr="0022744A">
        <w:rPr>
          <w:rFonts w:ascii="Times New Roman" w:hAnsi="Times New Roman" w:eastAsia="Times New Roman" w:cs="Times New Roman"/>
          <w:color w:val="212121"/>
          <w:sz w:val="24"/>
          <w:szCs w:val="24"/>
          <w:lang w:eastAsia="lv-LV"/>
        </w:rPr>
        <w:t>apakšsadaļu</w:t>
      </w:r>
      <w:proofErr w:type="spellEnd"/>
      <w:r w:rsidRPr="0022744A">
        <w:rPr>
          <w:rFonts w:ascii="Times New Roman" w:hAnsi="Times New Roman" w:eastAsia="Times New Roman" w:cs="Times New Roman"/>
          <w:color w:val="212121"/>
          <w:sz w:val="24"/>
          <w:szCs w:val="24"/>
          <w:lang w:eastAsia="lv-LV"/>
        </w:rPr>
        <w:t xml:space="preserve"> pieejamību vai bloķējot interneta protokola (IP) adresi. Līdz ar to būtu nepieciešams noteikt tiesības elektronisko sakaru komersantam izvēlēties tehnoloģisko risinājumu, kā tiek ierobežota piekļuve attiecīgajai tīmekļa vietnei, sev piemērotā veidā.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Ņemot vērā minēto, lūdzam papildināt likumprojekta 16.panta pirmo daļu ar 6.punktu šādā redakcijā: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“6) veikt ar tam pieejamiem tehnoloģiskiem risinājumiem papildu pasākumus piekļuves ierobežošanai Latvijā nelicencēta interaktīvo azartspēļu vai interaktīvo izložu organizētāja domēna vārdam vai interneta protokola (IP) adresei.”</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xml:space="preserve">10. Lai veicinātu efektīvu normatīvajos aktos noteikto uzraudzību par personu dalību Latvijā nelicencētajās interaktīvajās azartspēlēs un interaktīvajās izlozēs, lūdzam papildināt likumprojekta 104. panta desmitās daļas ievaddaļu aiz vārdiem “elektronisko sakaru komersantiem ir pienākums”  ar skaitli un vārdiem  “15 dienu </w:t>
      </w:r>
      <w:r w:rsidRPr="0022744A">
        <w:rPr>
          <w:rFonts w:ascii="Times New Roman" w:hAnsi="Times New Roman" w:eastAsia="Times New Roman" w:cs="Times New Roman"/>
          <w:color w:val="212121"/>
          <w:sz w:val="24"/>
          <w:szCs w:val="24"/>
          <w:lang w:eastAsia="lv-LV"/>
        </w:rPr>
        <w:lastRenderedPageBreak/>
        <w:t>laikā”. Vienlaikus informējam, ka līdzīgs pienākums un informācijas sniegšanas termiņš ir jau iekļauts likumprojekta 105. panta 4.punktā.”</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b/>
          <w:bCs/>
          <w:color w:val="212121"/>
          <w:sz w:val="24"/>
          <w:szCs w:val="24"/>
          <w:lang w:eastAsia="lv-LV"/>
        </w:rPr>
        <w:t>Priekšlikums</w:t>
      </w:r>
      <w:r w:rsidRPr="0022744A">
        <w:rPr>
          <w:rFonts w:ascii="Times New Roman" w:hAnsi="Times New Roman" w:eastAsia="Times New Roman" w:cs="Times New Roman"/>
          <w:color w:val="212121"/>
          <w:sz w:val="24"/>
          <w:szCs w:val="24"/>
          <w:lang w:eastAsia="lv-LV"/>
        </w:rPr>
        <w:t>.</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000000"/>
          <w:sz w:val="24"/>
          <w:szCs w:val="24"/>
          <w:lang w:eastAsia="lv-LV"/>
        </w:rPr>
        <w:t>Lūdzam likumprojekta 68.panta otrajā daļā un 80.panta astotajā daļā vārdu “ziņojums” aizstāt ar vārdu “slēdziens” attiecīgajā locījumā, lai paredzētie šā dokumenta lietotāju nevarētu pārprast ziņojumu. Vēršam uzmanību, ka ne visi lietpratēja uzdevumi (neatkarīgās pārbaudes), ko veic zvērināts revidents un zvērinātu revidentu komercsabiedrība ir uzskatāms par revīzijas pakalpojumu, kura rezultātā tiek izteikta pietiekama pārliecība par veiktās pārbaudes rezultātu un izsniegts neatkarīga revidenta ziņojums. Revīzijas pakalpojumu sniegšanu reglamentē Revīzijas pakalpojuma likums. Pārējo citu apliecinājuma (kas nav revīzijas pakalpojums) vai radniecīgos pakalpojumu sniegšanu nosaka citi profesionālie standarti, saskaņā ar kuriem šā pakalpojuma sniedzējs veic attiecīgās pārbaudes procedūras un izsniedz attiecīgu slēdzienu vai ziņojumu, atkarībā no attiecīgā pakalpojuma veida un pārliecības līmeņa. Likumprojekta 68.panta otrajā daļā un 80.panta astotajā daļā minētā pārbaude, kuru ir uzticēts veikt zvērinātam revidentam vai zvērinātu revidentu komercsabiedrībai, nav uzskatāma par revīzijas pakalpojumu, kura rezultātā tiek izsniegts neatkarīga revidenta ziņojums, bet gan cits lietpratēja uzdevums, par kuru zvērināts revidents izsniedz neatkarīgu eksperta slēdzienu par veiktās pārbaudes rezultātiem.</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Times New Roman" w:hAnsi="Times New Roman" w:eastAsia="Times New Roman" w:cs="Times New Roman"/>
          <w:color w:val="212121"/>
          <w:sz w:val="24"/>
          <w:szCs w:val="24"/>
          <w:lang w:eastAsia="lv-LV"/>
        </w:rPr>
        <w:t> </w:t>
      </w:r>
    </w:p>
    <w:p w:rsidRPr="0022744A" w:rsidR="0022744A" w:rsidP="0022744A" w:rsidRDefault="0022744A">
      <w:pPr>
        <w:shd w:val="clear" w:color="auto" w:fill="FFFFFF"/>
        <w:spacing w:after="0" w:line="240" w:lineRule="auto"/>
        <w:rPr>
          <w:rFonts w:ascii="Calibri" w:hAnsi="Calibri" w:eastAsia="Times New Roman" w:cs="Calibri"/>
          <w:color w:val="212121"/>
          <w:sz w:val="24"/>
          <w:szCs w:val="24"/>
          <w:lang w:eastAsia="lv-LV"/>
        </w:rPr>
      </w:pPr>
      <w:r w:rsidRPr="0022744A">
        <w:rPr>
          <w:rFonts w:ascii="Franklin Gothic Book" w:hAnsi="Franklin Gothic Book" w:eastAsia="Times New Roman" w:cs="Times New Roman"/>
          <w:b/>
          <w:bCs/>
          <w:color w:val="4C4B49"/>
          <w:sz w:val="20"/>
          <w:szCs w:val="20"/>
          <w:lang w:eastAsia="lv-LV"/>
        </w:rPr>
        <w:t>Ar cieņu</w:t>
      </w:r>
      <w:r w:rsidRPr="0022744A">
        <w:rPr>
          <w:rFonts w:ascii="Franklin Gothic Book" w:hAnsi="Franklin Gothic Book" w:eastAsia="Times New Roman" w:cs="Times New Roman"/>
          <w:b/>
          <w:bCs/>
          <w:color w:val="4C4B49"/>
          <w:sz w:val="20"/>
          <w:szCs w:val="20"/>
          <w:lang w:eastAsia="lv-LV"/>
        </w:rPr>
        <w:br/>
      </w:r>
      <w:r w:rsidRPr="0022744A">
        <w:rPr>
          <w:rFonts w:ascii="Franklin Gothic Medium" w:hAnsi="Franklin Gothic Medium" w:eastAsia="Times New Roman" w:cs="Times New Roman"/>
          <w:b/>
          <w:bCs/>
          <w:color w:val="1F497D"/>
          <w:sz w:val="20"/>
          <w:szCs w:val="20"/>
          <w:lang w:eastAsia="lv-LV"/>
        </w:rPr>
        <w:t xml:space="preserve">Ilga </w:t>
      </w:r>
      <w:proofErr w:type="spellStart"/>
      <w:r w:rsidRPr="0022744A">
        <w:rPr>
          <w:rFonts w:ascii="Franklin Gothic Medium" w:hAnsi="Franklin Gothic Medium" w:eastAsia="Times New Roman" w:cs="Times New Roman"/>
          <w:b/>
          <w:bCs/>
          <w:color w:val="1F497D"/>
          <w:sz w:val="20"/>
          <w:szCs w:val="20"/>
          <w:lang w:eastAsia="lv-LV"/>
        </w:rPr>
        <w:t>Jermacāne</w:t>
      </w:r>
      <w:proofErr w:type="spellEnd"/>
      <w:r w:rsidRPr="0022744A">
        <w:rPr>
          <w:rFonts w:ascii="Franklin Gothic Book" w:hAnsi="Franklin Gothic Book" w:eastAsia="Times New Roman" w:cs="Times New Roman"/>
          <w:color w:val="767573"/>
          <w:sz w:val="16"/>
          <w:szCs w:val="16"/>
          <w:lang w:eastAsia="lv-LV"/>
        </w:rPr>
        <w:br/>
        <w:t>Juridiskā departamenta</w:t>
      </w:r>
      <w:r w:rsidRPr="0022744A">
        <w:rPr>
          <w:rFonts w:ascii="Franklin Gothic Book" w:hAnsi="Franklin Gothic Book" w:eastAsia="Times New Roman" w:cs="Times New Roman"/>
          <w:color w:val="767573"/>
          <w:sz w:val="16"/>
          <w:szCs w:val="16"/>
          <w:lang w:eastAsia="lv-LV"/>
        </w:rPr>
        <w:br/>
        <w:t>Tiesību aktu nodaļas juriskonsulte</w:t>
      </w:r>
      <w:r w:rsidRPr="0022744A">
        <w:rPr>
          <w:rFonts w:ascii="Franklin Gothic Book" w:hAnsi="Franklin Gothic Book" w:eastAsia="Times New Roman" w:cs="Times New Roman"/>
          <w:color w:val="767573"/>
          <w:sz w:val="16"/>
          <w:szCs w:val="16"/>
          <w:lang w:eastAsia="lv-LV"/>
        </w:rPr>
        <w:br/>
        <w:t>Tālr.: (+371) 67083802</w:t>
      </w:r>
      <w:r w:rsidRPr="0022744A">
        <w:rPr>
          <w:rFonts w:ascii="Franklin Gothic Book" w:hAnsi="Franklin Gothic Book" w:eastAsia="Times New Roman" w:cs="Times New Roman"/>
          <w:color w:val="767573"/>
          <w:sz w:val="16"/>
          <w:szCs w:val="16"/>
          <w:lang w:eastAsia="lv-LV"/>
        </w:rPr>
        <w:br/>
        <w:t>E-pasts: </w:t>
      </w:r>
      <w:hyperlink w:tgtFrame="_blank" w:history="1" r:id="rId4">
        <w:r w:rsidRPr="0022744A">
          <w:rPr>
            <w:rFonts w:ascii="Franklin Gothic Book" w:hAnsi="Franklin Gothic Book" w:eastAsia="Times New Roman" w:cs="Times New Roman"/>
            <w:color w:val="1F497D"/>
            <w:sz w:val="16"/>
            <w:szCs w:val="16"/>
            <w:u w:val="single"/>
            <w:lang w:eastAsia="lv-LV"/>
          </w:rPr>
          <w:t>ilga.jermacane@fm.gov.lv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br/>
      </w:r>
      <w:r w:rsidRPr="0022744A">
        <w:rPr>
          <w:rFonts w:ascii="Franklin Gothic Medium" w:hAnsi="Franklin Gothic Medium" w:eastAsia="Times New Roman" w:cs="Times New Roman"/>
          <w:b/>
          <w:bCs/>
          <w:color w:val="1F497D"/>
          <w:sz w:val="20"/>
          <w:szCs w:val="20"/>
          <w:lang w:eastAsia="lv-LV"/>
        </w:rPr>
        <w:t xml:space="preserve">Guna </w:t>
      </w:r>
      <w:proofErr w:type="spellStart"/>
      <w:r w:rsidRPr="0022744A">
        <w:rPr>
          <w:rFonts w:ascii="Franklin Gothic Medium" w:hAnsi="Franklin Gothic Medium" w:eastAsia="Times New Roman" w:cs="Times New Roman"/>
          <w:b/>
          <w:bCs/>
          <w:color w:val="1F497D"/>
          <w:sz w:val="20"/>
          <w:szCs w:val="20"/>
          <w:lang w:eastAsia="lv-LV"/>
        </w:rPr>
        <w:t>Federe</w:t>
      </w:r>
      <w:proofErr w:type="spellEnd"/>
      <w:r w:rsidRPr="0022744A">
        <w:rPr>
          <w:rFonts w:ascii="Franklin Gothic Book" w:hAnsi="Franklin Gothic Book" w:eastAsia="Times New Roman" w:cs="Times New Roman"/>
          <w:color w:val="767573"/>
          <w:sz w:val="16"/>
          <w:szCs w:val="16"/>
          <w:lang w:eastAsia="lv-LV"/>
        </w:rPr>
        <w:br/>
        <w:t>Budžeta departamenta</w:t>
      </w:r>
      <w:r w:rsidRPr="0022744A">
        <w:rPr>
          <w:rFonts w:ascii="Franklin Gothic Book" w:hAnsi="Franklin Gothic Book" w:eastAsia="Times New Roman" w:cs="Times New Roman"/>
          <w:color w:val="767573"/>
          <w:sz w:val="16"/>
          <w:szCs w:val="16"/>
          <w:lang w:eastAsia="lv-LV"/>
        </w:rPr>
        <w:br/>
        <w:t>Reģionālās attīstības, vides, zemkopības</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Book" w:hAnsi="Franklin Gothic Book" w:eastAsia="Times New Roman" w:cs="Times New Roman"/>
          <w:color w:val="767573"/>
          <w:sz w:val="16"/>
          <w:szCs w:val="16"/>
          <w:lang w:eastAsia="lv-LV"/>
        </w:rPr>
        <w:t>un satiksmes finansēšanas nodaļas vecākā eksperte</w:t>
      </w:r>
      <w:r w:rsidRPr="0022744A">
        <w:rPr>
          <w:rFonts w:ascii="Franklin Gothic Book" w:hAnsi="Franklin Gothic Book" w:eastAsia="Times New Roman" w:cs="Times New Roman"/>
          <w:color w:val="767573"/>
          <w:sz w:val="16"/>
          <w:szCs w:val="16"/>
          <w:lang w:eastAsia="lv-LV"/>
        </w:rPr>
        <w:br/>
        <w:t>E-pasts: </w:t>
      </w:r>
      <w:hyperlink w:tgtFrame="_blank" w:history="1" r:id="rId5">
        <w:r w:rsidRPr="0022744A">
          <w:rPr>
            <w:rFonts w:ascii="Franklin Gothic Book" w:hAnsi="Franklin Gothic Book" w:eastAsia="Times New Roman" w:cs="Times New Roman"/>
            <w:color w:val="1F497D"/>
            <w:sz w:val="16"/>
            <w:szCs w:val="16"/>
            <w:u w:val="single"/>
            <w:lang w:eastAsia="lv-LV"/>
          </w:rPr>
          <w:t>guna.federe@fm.gov.lv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67095444</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Medium" w:hAnsi="Franklin Gothic Medium" w:eastAsia="Times New Roman" w:cs="Times New Roman"/>
          <w:b/>
          <w:bCs/>
          <w:color w:val="1F497D"/>
          <w:sz w:val="20"/>
          <w:szCs w:val="20"/>
          <w:lang w:eastAsia="lv-LV"/>
        </w:rPr>
        <w:t>Zane Liede</w:t>
      </w:r>
      <w:r w:rsidRPr="0022744A">
        <w:rPr>
          <w:rFonts w:ascii="Franklin Gothic Book" w:hAnsi="Franklin Gothic Book" w:eastAsia="Times New Roman" w:cs="Times New Roman"/>
          <w:color w:val="767573"/>
          <w:sz w:val="16"/>
          <w:szCs w:val="16"/>
          <w:lang w:eastAsia="lv-LV"/>
        </w:rPr>
        <w:br/>
        <w:t>Komercdarbības atbalsta kontroles departamenta vecākā eksperte</w:t>
      </w:r>
      <w:r w:rsidRPr="0022744A">
        <w:rPr>
          <w:rFonts w:ascii="Franklin Gothic Book" w:hAnsi="Franklin Gothic Book" w:eastAsia="Times New Roman" w:cs="Times New Roman"/>
          <w:color w:val="767573"/>
          <w:sz w:val="16"/>
          <w:szCs w:val="16"/>
          <w:lang w:eastAsia="lv-LV"/>
        </w:rPr>
        <w:br/>
        <w:t>E-pasts: </w:t>
      </w:r>
      <w:hyperlink w:tgtFrame="_blank" w:history="1" r:id="rId6">
        <w:r w:rsidRPr="0022744A">
          <w:rPr>
            <w:rFonts w:ascii="Franklin Gothic Book" w:hAnsi="Franklin Gothic Book" w:eastAsia="Times New Roman" w:cs="Times New Roman"/>
            <w:color w:val="1F497D"/>
            <w:sz w:val="16"/>
            <w:szCs w:val="16"/>
            <w:u w:val="single"/>
            <w:lang w:eastAsia="lv-LV"/>
          </w:rPr>
          <w:t>zane.liede@fm.gov.lv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67095506</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Medium" w:hAnsi="Franklin Gothic Medium" w:eastAsia="Times New Roman" w:cs="Times New Roman"/>
          <w:b/>
          <w:bCs/>
          <w:color w:val="1F497D"/>
          <w:sz w:val="20"/>
          <w:szCs w:val="20"/>
          <w:lang w:eastAsia="lv-LV"/>
        </w:rPr>
        <w:t>Iveta Cirse</w:t>
      </w:r>
      <w:r w:rsidRPr="0022744A">
        <w:rPr>
          <w:rFonts w:ascii="Franklin Gothic Book" w:hAnsi="Franklin Gothic Book" w:eastAsia="Times New Roman" w:cs="Times New Roman"/>
          <w:color w:val="767573"/>
          <w:sz w:val="16"/>
          <w:szCs w:val="16"/>
          <w:lang w:eastAsia="lv-LV"/>
        </w:rPr>
        <w:br/>
        <w:t>Juridiskā departamenta</w:t>
      </w:r>
      <w:r w:rsidRPr="0022744A">
        <w:rPr>
          <w:rFonts w:ascii="Franklin Gothic Book" w:hAnsi="Franklin Gothic Book" w:eastAsia="Times New Roman" w:cs="Times New Roman"/>
          <w:color w:val="767573"/>
          <w:sz w:val="16"/>
          <w:szCs w:val="16"/>
          <w:lang w:eastAsia="lv-LV"/>
        </w:rPr>
        <w:br/>
        <w:t>Iepirkumu politikas un valsts nekustamo īpašumu pārvaldīšanas politikas nodaļas vecākā eksperte</w:t>
      </w:r>
      <w:r w:rsidRPr="0022744A">
        <w:rPr>
          <w:rFonts w:ascii="Franklin Gothic Book" w:hAnsi="Franklin Gothic Book" w:eastAsia="Times New Roman" w:cs="Times New Roman"/>
          <w:color w:val="767573"/>
          <w:sz w:val="16"/>
          <w:szCs w:val="16"/>
          <w:lang w:eastAsia="lv-LV"/>
        </w:rPr>
        <w:br/>
        <w:t>E-pasts: </w:t>
      </w:r>
      <w:hyperlink w:tgtFrame="_blank" w:history="1" r:id="rId7">
        <w:r w:rsidRPr="0022744A">
          <w:rPr>
            <w:rFonts w:ascii="Franklin Gothic Book" w:hAnsi="Franklin Gothic Book" w:eastAsia="Times New Roman" w:cs="Times New Roman"/>
            <w:color w:val="1F497D"/>
            <w:sz w:val="16"/>
            <w:szCs w:val="16"/>
            <w:u w:val="single"/>
            <w:lang w:eastAsia="lv-LV"/>
          </w:rPr>
          <w:t>iveta.cirse@fm.gov.lv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67095659</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Medium" w:hAnsi="Franklin Gothic Medium" w:eastAsia="Times New Roman" w:cs="Times New Roman"/>
          <w:b/>
          <w:bCs/>
          <w:color w:val="1F497D"/>
          <w:sz w:val="20"/>
          <w:szCs w:val="20"/>
          <w:lang w:eastAsia="lv-LV"/>
        </w:rPr>
        <w:t xml:space="preserve">Sabīne </w:t>
      </w:r>
      <w:proofErr w:type="spellStart"/>
      <w:r w:rsidRPr="0022744A">
        <w:rPr>
          <w:rFonts w:ascii="Franklin Gothic Medium" w:hAnsi="Franklin Gothic Medium" w:eastAsia="Times New Roman" w:cs="Times New Roman"/>
          <w:b/>
          <w:bCs/>
          <w:color w:val="1F497D"/>
          <w:sz w:val="20"/>
          <w:szCs w:val="20"/>
          <w:lang w:eastAsia="lv-LV"/>
        </w:rPr>
        <w:t>Ālmane</w:t>
      </w:r>
      <w:proofErr w:type="spellEnd"/>
      <w:r w:rsidRPr="0022744A">
        <w:rPr>
          <w:rFonts w:ascii="Franklin Gothic Book" w:hAnsi="Franklin Gothic Book" w:eastAsia="Times New Roman" w:cs="Times New Roman"/>
          <w:color w:val="767573"/>
          <w:sz w:val="16"/>
          <w:szCs w:val="16"/>
          <w:lang w:eastAsia="lv-LV"/>
        </w:rPr>
        <w:br/>
        <w:t>Juridiskā departamenta</w:t>
      </w:r>
      <w:r w:rsidRPr="0022744A">
        <w:rPr>
          <w:rFonts w:ascii="Franklin Gothic Book" w:hAnsi="Franklin Gothic Book" w:eastAsia="Times New Roman" w:cs="Times New Roman"/>
          <w:color w:val="767573"/>
          <w:sz w:val="16"/>
          <w:szCs w:val="16"/>
          <w:lang w:eastAsia="lv-LV"/>
        </w:rPr>
        <w:br/>
        <w:t>Iepirkumu politikas un valsts nekustamo īpašumu pārvaldīšanas politikas nodaļas vadītāja vietniece</w:t>
      </w:r>
      <w:r w:rsidRPr="0022744A">
        <w:rPr>
          <w:rFonts w:ascii="Franklin Gothic Book" w:hAnsi="Franklin Gothic Book" w:eastAsia="Times New Roman" w:cs="Times New Roman"/>
          <w:color w:val="767573"/>
          <w:sz w:val="16"/>
          <w:szCs w:val="16"/>
          <w:lang w:eastAsia="lv-LV"/>
        </w:rPr>
        <w:br/>
        <w:t>E-pasts: </w:t>
      </w:r>
      <w:hyperlink w:tgtFrame="_blank" w:history="1" r:id="rId8">
        <w:r w:rsidRPr="0022744A">
          <w:rPr>
            <w:rFonts w:ascii="Franklin Gothic Book" w:hAnsi="Franklin Gothic Book" w:eastAsia="Times New Roman" w:cs="Times New Roman"/>
            <w:color w:val="1F497D"/>
            <w:sz w:val="16"/>
            <w:szCs w:val="16"/>
            <w:u w:val="single"/>
            <w:lang w:eastAsia="lv-LV"/>
          </w:rPr>
          <w:t>sabine.almane@fm.gov.lv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67095597</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Medium" w:hAnsi="Franklin Gothic Medium" w:eastAsia="Times New Roman" w:cs="Times New Roman"/>
          <w:b/>
          <w:bCs/>
          <w:color w:val="1F497D"/>
          <w:sz w:val="20"/>
          <w:szCs w:val="20"/>
          <w:lang w:eastAsia="lv-LV"/>
        </w:rPr>
        <w:t>Alvis Bless</w:t>
      </w:r>
      <w:r w:rsidRPr="0022744A">
        <w:rPr>
          <w:rFonts w:ascii="Franklin Gothic Book" w:hAnsi="Franklin Gothic Book" w:eastAsia="Times New Roman" w:cs="Times New Roman"/>
          <w:color w:val="767573"/>
          <w:sz w:val="16"/>
          <w:szCs w:val="16"/>
          <w:lang w:eastAsia="lv-LV"/>
        </w:rPr>
        <w:br/>
        <w:t>Nodokļu administrēšanas un sabiedrības interešu politiku departamenta</w:t>
      </w:r>
      <w:r w:rsidRPr="0022744A">
        <w:rPr>
          <w:rFonts w:ascii="Franklin Gothic Book" w:hAnsi="Franklin Gothic Book" w:eastAsia="Times New Roman" w:cs="Times New Roman"/>
          <w:color w:val="767573"/>
          <w:sz w:val="16"/>
          <w:szCs w:val="16"/>
          <w:lang w:eastAsia="lv-LV"/>
        </w:rPr>
        <w:br/>
        <w:t>Sabiedrības interešu politiku nodaļas vecākais eksperts</w:t>
      </w:r>
      <w:r w:rsidRPr="0022744A">
        <w:rPr>
          <w:rFonts w:ascii="Franklin Gothic Book" w:hAnsi="Franklin Gothic Book" w:eastAsia="Times New Roman" w:cs="Times New Roman"/>
          <w:color w:val="767573"/>
          <w:sz w:val="16"/>
          <w:szCs w:val="16"/>
          <w:lang w:eastAsia="lv-LV"/>
        </w:rPr>
        <w:br/>
        <w:t>E-pasts: </w:t>
      </w:r>
      <w:hyperlink w:tgtFrame="_blank" w:history="1" r:id="rId9">
        <w:r w:rsidRPr="0022744A">
          <w:rPr>
            <w:rFonts w:ascii="Franklin Gothic Book" w:hAnsi="Franklin Gothic Book" w:eastAsia="Times New Roman" w:cs="Times New Roman"/>
            <w:color w:val="1F497D"/>
            <w:sz w:val="16"/>
            <w:szCs w:val="16"/>
            <w:u w:val="single"/>
            <w:lang w:eastAsia="lv-LV"/>
          </w:rPr>
          <w:t>alvis.bless@fm.gov.lv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67095672</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Medium" w:hAnsi="Franklin Gothic Medium" w:eastAsia="Times New Roman" w:cs="Times New Roman"/>
          <w:b/>
          <w:bCs/>
          <w:color w:val="1F497D"/>
          <w:sz w:val="20"/>
          <w:szCs w:val="20"/>
          <w:lang w:eastAsia="lv-LV"/>
        </w:rPr>
        <w:t>Ginta Elksnīte</w:t>
      </w:r>
      <w:r w:rsidRPr="0022744A">
        <w:rPr>
          <w:rFonts w:ascii="Franklin Gothic Book" w:hAnsi="Franklin Gothic Book" w:eastAsia="Times New Roman" w:cs="Times New Roman"/>
          <w:color w:val="767573"/>
          <w:sz w:val="16"/>
          <w:szCs w:val="16"/>
          <w:lang w:eastAsia="lv-LV"/>
        </w:rPr>
        <w:br/>
        <w:t>Grāmatvedības un revīzijas politikas departamenta</w:t>
      </w:r>
      <w:r w:rsidRPr="0022744A">
        <w:rPr>
          <w:rFonts w:ascii="Franklin Gothic Book" w:hAnsi="Franklin Gothic Book" w:eastAsia="Times New Roman" w:cs="Times New Roman"/>
          <w:color w:val="767573"/>
          <w:sz w:val="16"/>
          <w:szCs w:val="16"/>
          <w:lang w:eastAsia="lv-LV"/>
        </w:rPr>
        <w:br/>
        <w:t>Komercsabiedrību revīzijas politikas un uzraudzības nodaļas vecākā eksperte-inspektore</w:t>
      </w:r>
      <w:r w:rsidRPr="0022744A">
        <w:rPr>
          <w:rFonts w:ascii="Franklin Gothic Book" w:hAnsi="Franklin Gothic Book" w:eastAsia="Times New Roman" w:cs="Times New Roman"/>
          <w:color w:val="767573"/>
          <w:sz w:val="16"/>
          <w:szCs w:val="16"/>
          <w:lang w:eastAsia="lv-LV"/>
        </w:rPr>
        <w:br/>
      </w:r>
      <w:r w:rsidRPr="0022744A">
        <w:rPr>
          <w:rFonts w:ascii="Franklin Gothic Book" w:hAnsi="Franklin Gothic Book" w:eastAsia="Times New Roman" w:cs="Times New Roman"/>
          <w:color w:val="767573"/>
          <w:sz w:val="16"/>
          <w:szCs w:val="16"/>
          <w:lang w:eastAsia="lv-LV"/>
        </w:rPr>
        <w:lastRenderedPageBreak/>
        <w:t>E-pasts: </w:t>
      </w:r>
      <w:hyperlink w:tgtFrame="_blank" w:history="1" r:id="rId10">
        <w:r w:rsidRPr="0022744A">
          <w:rPr>
            <w:rFonts w:ascii="Franklin Gothic Book" w:hAnsi="Franklin Gothic Book" w:eastAsia="Times New Roman" w:cs="Times New Roman"/>
            <w:color w:val="1F497D"/>
            <w:sz w:val="16"/>
            <w:szCs w:val="16"/>
            <w:u w:val="single"/>
            <w:lang w:eastAsia="lv-LV"/>
          </w:rPr>
          <w:t>ginta.elksnite@fm.gov.lv</w:t>
        </w:r>
      </w:hyperlink>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Tālr.: 67083952</w:t>
      </w:r>
    </w:p>
    <w:p w:rsidRPr="0022744A" w:rsidR="0022744A" w:rsidP="0022744A" w:rsidRDefault="0022744A">
      <w:pPr>
        <w:shd w:val="clear" w:color="auto" w:fill="FFFFFF"/>
        <w:spacing w:line="240" w:lineRule="auto"/>
        <w:rPr>
          <w:rFonts w:ascii="Calibri" w:hAnsi="Calibri" w:eastAsia="Times New Roman" w:cs="Calibri"/>
          <w:color w:val="212121"/>
          <w:sz w:val="24"/>
          <w:szCs w:val="24"/>
          <w:lang w:eastAsia="lv-LV"/>
        </w:rPr>
      </w:pPr>
      <w:r w:rsidRPr="0022744A">
        <w:rPr>
          <w:rFonts w:ascii="Franklin Gothic Book" w:hAnsi="Franklin Gothic Book" w:eastAsia="Times New Roman" w:cs="Times New Roman"/>
          <w:color w:val="767573"/>
          <w:sz w:val="16"/>
          <w:szCs w:val="16"/>
          <w:lang w:eastAsia="lv-LV"/>
        </w:rPr>
        <w:t>Latvijas Republikas Finanšu ministrija</w:t>
      </w:r>
      <w:r w:rsidRPr="0022744A">
        <w:rPr>
          <w:rFonts w:ascii="Franklin Gothic Book" w:hAnsi="Franklin Gothic Book" w:eastAsia="Times New Roman" w:cs="Times New Roman"/>
          <w:color w:val="767573"/>
          <w:sz w:val="16"/>
          <w:szCs w:val="16"/>
          <w:lang w:eastAsia="lv-LV"/>
        </w:rPr>
        <w:br/>
        <w:t xml:space="preserve">Smilšu iela 1, </w:t>
      </w:r>
      <w:proofErr w:type="spellStart"/>
      <w:r w:rsidRPr="0022744A">
        <w:rPr>
          <w:rFonts w:ascii="Franklin Gothic Book" w:hAnsi="Franklin Gothic Book" w:eastAsia="Times New Roman" w:cs="Times New Roman"/>
          <w:color w:val="767573"/>
          <w:sz w:val="16"/>
          <w:szCs w:val="16"/>
          <w:lang w:eastAsia="lv-LV"/>
        </w:rPr>
        <w:t>Riga</w:t>
      </w:r>
      <w:proofErr w:type="spellEnd"/>
      <w:r w:rsidRPr="0022744A">
        <w:rPr>
          <w:rFonts w:ascii="Franklin Gothic Book" w:hAnsi="Franklin Gothic Book" w:eastAsia="Times New Roman" w:cs="Times New Roman"/>
          <w:color w:val="767573"/>
          <w:sz w:val="16"/>
          <w:szCs w:val="16"/>
          <w:lang w:eastAsia="lv-LV"/>
        </w:rPr>
        <w:t>, LV-1919, Latvija</w:t>
      </w:r>
      <w:r w:rsidRPr="0022744A">
        <w:rPr>
          <w:rFonts w:ascii="Franklin Gothic Book" w:hAnsi="Franklin Gothic Book" w:eastAsia="Times New Roman" w:cs="Times New Roman"/>
          <w:color w:val="767573"/>
          <w:sz w:val="16"/>
          <w:szCs w:val="16"/>
          <w:lang w:eastAsia="lv-LV"/>
        </w:rPr>
        <w:br/>
        <w:t>Mājaslapa: </w:t>
      </w:r>
      <w:r w:rsidRPr="0022744A">
        <w:rPr>
          <w:rFonts w:ascii="Times New Roman" w:hAnsi="Times New Roman" w:eastAsia="Times New Roman" w:cs="Times New Roman"/>
          <w:color w:val="212121"/>
          <w:sz w:val="24"/>
          <w:szCs w:val="24"/>
          <w:lang w:eastAsia="lv-LV"/>
        </w:rPr>
        <w:t>[www.fm.gov.lv]</w:t>
      </w:r>
      <w:r w:rsidRPr="0022744A">
        <w:rPr>
          <w:rFonts w:ascii="Franklin Gothic Book" w:hAnsi="Franklin Gothic Book" w:eastAsia="Times New Roman" w:cs="Times New Roman"/>
          <w:color w:val="1F497D"/>
          <w:sz w:val="16"/>
          <w:szCs w:val="16"/>
          <w:lang w:eastAsia="lv-LV"/>
        </w:rPr>
        <w:t>www.fm.gov.lv</w:t>
      </w:r>
      <w:r w:rsidRPr="0022744A">
        <w:rPr>
          <w:rFonts w:ascii="Franklin Gothic Book" w:hAnsi="Franklin Gothic Book" w:eastAsia="Times New Roman" w:cs="Times New Roman"/>
          <w:color w:val="1F497D"/>
          <w:sz w:val="16"/>
          <w:szCs w:val="16"/>
          <w:lang w:eastAsia="lv-LV"/>
        </w:rPr>
        <w:br/>
      </w:r>
      <w:r w:rsidRPr="0022744A">
        <w:rPr>
          <w:rFonts w:ascii="Franklin Gothic Book" w:hAnsi="Franklin Gothic Book" w:eastAsia="Times New Roman" w:cs="Times New Roman"/>
          <w:color w:val="767573"/>
          <w:sz w:val="16"/>
          <w:szCs w:val="16"/>
          <w:lang w:eastAsia="lv-LV"/>
        </w:rPr>
        <w:t>E-pasts: </w:t>
      </w:r>
      <w:r w:rsidRPr="0022744A">
        <w:rPr>
          <w:rFonts w:ascii="Times New Roman" w:hAnsi="Times New Roman" w:eastAsia="Times New Roman" w:cs="Times New Roman"/>
          <w:color w:val="212121"/>
          <w:sz w:val="24"/>
          <w:szCs w:val="24"/>
          <w:lang w:eastAsia="lv-LV"/>
        </w:rPr>
        <w:t>[pasts@fm.gov.lv]</w:t>
      </w:r>
      <w:r w:rsidRPr="0022744A">
        <w:rPr>
          <w:rFonts w:ascii="Franklin Gothic Book" w:hAnsi="Franklin Gothic Book" w:eastAsia="Times New Roman" w:cs="Times New Roman"/>
          <w:color w:val="1F497D"/>
          <w:sz w:val="16"/>
          <w:szCs w:val="16"/>
          <w:lang w:eastAsia="lv-LV"/>
        </w:rPr>
        <w:t>pasts@fm.gov.lv</w:t>
      </w:r>
      <w:r w:rsidRPr="0022744A">
        <w:rPr>
          <w:rFonts w:ascii="Franklin Gothic Book" w:hAnsi="Franklin Gothic Book" w:eastAsia="Times New Roman" w:cs="Times New Roman"/>
          <w:color w:val="1F497D"/>
          <w:sz w:val="16"/>
          <w:szCs w:val="16"/>
          <w:lang w:eastAsia="lv-LV"/>
        </w:rPr>
        <w:br/>
        <w:t> </w:t>
      </w:r>
    </w:p>
    <w:p w:rsidR="008D6E7C" w:rsidRDefault="008D6E7C">
      <w:bookmarkStart w:name="_GoBack" w:id="0"/>
      <w:bookmarkEnd w:id="0"/>
    </w:p>
    <w:sectPr w:rsidR="008D6E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4A"/>
    <w:rsid w:val="0022744A"/>
    <w:rsid w:val="008D6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C34F9-933B-46DB-ACFE-E6869EC5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189709">
      <w:bodyDiv w:val="1"/>
      <w:marLeft w:val="0"/>
      <w:marRight w:val="0"/>
      <w:marTop w:val="0"/>
      <w:marBottom w:val="0"/>
      <w:divBdr>
        <w:top w:val="none" w:sz="0" w:space="0" w:color="auto"/>
        <w:left w:val="none" w:sz="0" w:space="0" w:color="auto"/>
        <w:bottom w:val="none" w:sz="0" w:space="0" w:color="auto"/>
        <w:right w:val="none" w:sz="0" w:space="0" w:color="auto"/>
      </w:divBdr>
      <w:divsChild>
        <w:div w:id="447357012">
          <w:marLeft w:val="0"/>
          <w:marRight w:val="0"/>
          <w:marTop w:val="0"/>
          <w:marBottom w:val="0"/>
          <w:divBdr>
            <w:top w:val="none" w:sz="0" w:space="0" w:color="auto"/>
            <w:left w:val="none" w:sz="0" w:space="0" w:color="auto"/>
            <w:bottom w:val="none" w:sz="0" w:space="0" w:color="auto"/>
            <w:right w:val="none" w:sz="0" w:space="0" w:color="auto"/>
          </w:divBdr>
          <w:divsChild>
            <w:div w:id="224296462">
              <w:marLeft w:val="0"/>
              <w:marRight w:val="0"/>
              <w:marTop w:val="0"/>
              <w:marBottom w:val="0"/>
              <w:divBdr>
                <w:top w:val="none" w:sz="0" w:space="0" w:color="auto"/>
                <w:left w:val="none" w:sz="0" w:space="0" w:color="auto"/>
                <w:bottom w:val="none" w:sz="0" w:space="0" w:color="auto"/>
                <w:right w:val="none" w:sz="0" w:space="0" w:color="auto"/>
              </w:divBdr>
            </w:div>
          </w:divsChild>
        </w:div>
        <w:div w:id="479231427">
          <w:marLeft w:val="0"/>
          <w:marRight w:val="0"/>
          <w:marTop w:val="0"/>
          <w:marBottom w:val="0"/>
          <w:divBdr>
            <w:top w:val="none" w:sz="0" w:space="0" w:color="auto"/>
            <w:left w:val="none" w:sz="0" w:space="0" w:color="auto"/>
            <w:bottom w:val="none" w:sz="0" w:space="0" w:color="auto"/>
            <w:right w:val="none" w:sz="0" w:space="0" w:color="auto"/>
          </w:divBdr>
          <w:divsChild>
            <w:div w:id="196478540">
              <w:marLeft w:val="0"/>
              <w:marRight w:val="0"/>
              <w:marTop w:val="0"/>
              <w:marBottom w:val="0"/>
              <w:divBdr>
                <w:top w:val="none" w:sz="0" w:space="0" w:color="auto"/>
                <w:left w:val="none" w:sz="0" w:space="0" w:color="auto"/>
                <w:bottom w:val="none" w:sz="0" w:space="0" w:color="auto"/>
                <w:right w:val="none" w:sz="0" w:space="0" w:color="auto"/>
              </w:divBdr>
              <w:divsChild>
                <w:div w:id="1031688085">
                  <w:marLeft w:val="0"/>
                  <w:marRight w:val="0"/>
                  <w:marTop w:val="0"/>
                  <w:marBottom w:val="0"/>
                  <w:divBdr>
                    <w:top w:val="none" w:sz="0" w:space="0" w:color="auto"/>
                    <w:left w:val="none" w:sz="0" w:space="0" w:color="auto"/>
                    <w:bottom w:val="none" w:sz="0" w:space="0" w:color="auto"/>
                    <w:right w:val="none" w:sz="0" w:space="0" w:color="auto"/>
                  </w:divBdr>
                </w:div>
                <w:div w:id="411970102">
                  <w:marLeft w:val="0"/>
                  <w:marRight w:val="0"/>
                  <w:marTop w:val="0"/>
                  <w:marBottom w:val="0"/>
                  <w:divBdr>
                    <w:top w:val="none" w:sz="0" w:space="0" w:color="auto"/>
                    <w:left w:val="none" w:sz="0" w:space="0" w:color="auto"/>
                    <w:bottom w:val="none" w:sz="0" w:space="0" w:color="auto"/>
                    <w:right w:val="none" w:sz="0" w:space="0" w:color="auto"/>
                  </w:divBdr>
                </w:div>
                <w:div w:id="1725374988">
                  <w:marLeft w:val="0"/>
                  <w:marRight w:val="0"/>
                  <w:marTop w:val="0"/>
                  <w:marBottom w:val="0"/>
                  <w:divBdr>
                    <w:top w:val="none" w:sz="0" w:space="0" w:color="auto"/>
                    <w:left w:val="none" w:sz="0" w:space="0" w:color="auto"/>
                    <w:bottom w:val="none" w:sz="0" w:space="0" w:color="auto"/>
                    <w:right w:val="none" w:sz="0" w:space="0" w:color="auto"/>
                  </w:divBdr>
                </w:div>
                <w:div w:id="673806452">
                  <w:marLeft w:val="0"/>
                  <w:marRight w:val="0"/>
                  <w:marTop w:val="0"/>
                  <w:marBottom w:val="0"/>
                  <w:divBdr>
                    <w:top w:val="none" w:sz="0" w:space="0" w:color="auto"/>
                    <w:left w:val="none" w:sz="0" w:space="0" w:color="auto"/>
                    <w:bottom w:val="none" w:sz="0" w:space="0" w:color="auto"/>
                    <w:right w:val="none" w:sz="0" w:space="0" w:color="auto"/>
                  </w:divBdr>
                </w:div>
                <w:div w:id="766847699">
                  <w:marLeft w:val="0"/>
                  <w:marRight w:val="0"/>
                  <w:marTop w:val="0"/>
                  <w:marBottom w:val="0"/>
                  <w:divBdr>
                    <w:top w:val="none" w:sz="0" w:space="0" w:color="auto"/>
                    <w:left w:val="none" w:sz="0" w:space="0" w:color="auto"/>
                    <w:bottom w:val="none" w:sz="0" w:space="0" w:color="auto"/>
                    <w:right w:val="none" w:sz="0" w:space="0" w:color="auto"/>
                  </w:divBdr>
                </w:div>
                <w:div w:id="1661038440">
                  <w:marLeft w:val="0"/>
                  <w:marRight w:val="0"/>
                  <w:marTop w:val="0"/>
                  <w:marBottom w:val="0"/>
                  <w:divBdr>
                    <w:top w:val="none" w:sz="0" w:space="0" w:color="auto"/>
                    <w:left w:val="none" w:sz="0" w:space="0" w:color="auto"/>
                    <w:bottom w:val="none" w:sz="0" w:space="0" w:color="auto"/>
                    <w:right w:val="none" w:sz="0" w:space="0" w:color="auto"/>
                  </w:divBdr>
                </w:div>
                <w:div w:id="213660340">
                  <w:marLeft w:val="0"/>
                  <w:marRight w:val="0"/>
                  <w:marTop w:val="0"/>
                  <w:marBottom w:val="0"/>
                  <w:divBdr>
                    <w:top w:val="none" w:sz="0" w:space="0" w:color="auto"/>
                    <w:left w:val="none" w:sz="0" w:space="0" w:color="auto"/>
                    <w:bottom w:val="none" w:sz="0" w:space="0" w:color="auto"/>
                    <w:right w:val="none" w:sz="0" w:space="0" w:color="auto"/>
                  </w:divBdr>
                </w:div>
                <w:div w:id="889071686">
                  <w:marLeft w:val="0"/>
                  <w:marRight w:val="0"/>
                  <w:marTop w:val="0"/>
                  <w:marBottom w:val="0"/>
                  <w:divBdr>
                    <w:top w:val="none" w:sz="0" w:space="0" w:color="auto"/>
                    <w:left w:val="none" w:sz="0" w:space="0" w:color="auto"/>
                    <w:bottom w:val="none" w:sz="0" w:space="0" w:color="auto"/>
                    <w:right w:val="none" w:sz="0" w:space="0" w:color="auto"/>
                  </w:divBdr>
                </w:div>
                <w:div w:id="414976528">
                  <w:marLeft w:val="0"/>
                  <w:marRight w:val="0"/>
                  <w:marTop w:val="0"/>
                  <w:marBottom w:val="0"/>
                  <w:divBdr>
                    <w:top w:val="none" w:sz="0" w:space="0" w:color="auto"/>
                    <w:left w:val="none" w:sz="0" w:space="0" w:color="auto"/>
                    <w:bottom w:val="none" w:sz="0" w:space="0" w:color="auto"/>
                    <w:right w:val="none" w:sz="0" w:space="0" w:color="auto"/>
                  </w:divBdr>
                </w:div>
                <w:div w:id="362560400">
                  <w:marLeft w:val="0"/>
                  <w:marRight w:val="0"/>
                  <w:marTop w:val="0"/>
                  <w:marBottom w:val="0"/>
                  <w:divBdr>
                    <w:top w:val="none" w:sz="0" w:space="0" w:color="auto"/>
                    <w:left w:val="none" w:sz="0" w:space="0" w:color="auto"/>
                    <w:bottom w:val="none" w:sz="0" w:space="0" w:color="auto"/>
                    <w:right w:val="none" w:sz="0" w:space="0" w:color="auto"/>
                  </w:divBdr>
                </w:div>
                <w:div w:id="607540412">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48707747">
                  <w:marLeft w:val="0"/>
                  <w:marRight w:val="0"/>
                  <w:marTop w:val="0"/>
                  <w:marBottom w:val="0"/>
                  <w:divBdr>
                    <w:top w:val="none" w:sz="0" w:space="0" w:color="auto"/>
                    <w:left w:val="none" w:sz="0" w:space="0" w:color="auto"/>
                    <w:bottom w:val="none" w:sz="0" w:space="0" w:color="auto"/>
                    <w:right w:val="none" w:sz="0" w:space="0" w:color="auto"/>
                  </w:divBdr>
                </w:div>
                <w:div w:id="619070020">
                  <w:marLeft w:val="0"/>
                  <w:marRight w:val="0"/>
                  <w:marTop w:val="0"/>
                  <w:marBottom w:val="0"/>
                  <w:divBdr>
                    <w:top w:val="none" w:sz="0" w:space="0" w:color="auto"/>
                    <w:left w:val="none" w:sz="0" w:space="0" w:color="auto"/>
                    <w:bottom w:val="none" w:sz="0" w:space="0" w:color="auto"/>
                    <w:right w:val="none" w:sz="0" w:space="0" w:color="auto"/>
                  </w:divBdr>
                </w:div>
                <w:div w:id="1418598520">
                  <w:marLeft w:val="0"/>
                  <w:marRight w:val="0"/>
                  <w:marTop w:val="0"/>
                  <w:marBottom w:val="0"/>
                  <w:divBdr>
                    <w:top w:val="none" w:sz="0" w:space="0" w:color="auto"/>
                    <w:left w:val="none" w:sz="0" w:space="0" w:color="auto"/>
                    <w:bottom w:val="none" w:sz="0" w:space="0" w:color="auto"/>
                    <w:right w:val="none" w:sz="0" w:space="0" w:color="auto"/>
                  </w:divBdr>
                </w:div>
                <w:div w:id="1206527927">
                  <w:marLeft w:val="0"/>
                  <w:marRight w:val="0"/>
                  <w:marTop w:val="0"/>
                  <w:marBottom w:val="0"/>
                  <w:divBdr>
                    <w:top w:val="none" w:sz="0" w:space="0" w:color="auto"/>
                    <w:left w:val="none" w:sz="0" w:space="0" w:color="auto"/>
                    <w:bottom w:val="none" w:sz="0" w:space="0" w:color="auto"/>
                    <w:right w:val="none" w:sz="0" w:space="0" w:color="auto"/>
                  </w:divBdr>
                </w:div>
                <w:div w:id="406148247">
                  <w:marLeft w:val="0"/>
                  <w:marRight w:val="0"/>
                  <w:marTop w:val="0"/>
                  <w:marBottom w:val="0"/>
                  <w:divBdr>
                    <w:top w:val="none" w:sz="0" w:space="0" w:color="auto"/>
                    <w:left w:val="none" w:sz="0" w:space="0" w:color="auto"/>
                    <w:bottom w:val="none" w:sz="0" w:space="0" w:color="auto"/>
                    <w:right w:val="none" w:sz="0" w:space="0" w:color="auto"/>
                  </w:divBdr>
                </w:div>
                <w:div w:id="1144587440">
                  <w:marLeft w:val="0"/>
                  <w:marRight w:val="0"/>
                  <w:marTop w:val="0"/>
                  <w:marBottom w:val="0"/>
                  <w:divBdr>
                    <w:top w:val="none" w:sz="0" w:space="0" w:color="auto"/>
                    <w:left w:val="none" w:sz="0" w:space="0" w:color="auto"/>
                    <w:bottom w:val="none" w:sz="0" w:space="0" w:color="auto"/>
                    <w:right w:val="none" w:sz="0" w:space="0" w:color="auto"/>
                  </w:divBdr>
                </w:div>
                <w:div w:id="1834100984">
                  <w:marLeft w:val="0"/>
                  <w:marRight w:val="0"/>
                  <w:marTop w:val="0"/>
                  <w:marBottom w:val="0"/>
                  <w:divBdr>
                    <w:top w:val="none" w:sz="0" w:space="0" w:color="auto"/>
                    <w:left w:val="none" w:sz="0" w:space="0" w:color="auto"/>
                    <w:bottom w:val="none" w:sz="0" w:space="0" w:color="auto"/>
                    <w:right w:val="none" w:sz="0" w:space="0" w:color="auto"/>
                  </w:divBdr>
                </w:div>
                <w:div w:id="1244336508">
                  <w:marLeft w:val="0"/>
                  <w:marRight w:val="0"/>
                  <w:marTop w:val="0"/>
                  <w:marBottom w:val="0"/>
                  <w:divBdr>
                    <w:top w:val="none" w:sz="0" w:space="0" w:color="auto"/>
                    <w:left w:val="none" w:sz="0" w:space="0" w:color="auto"/>
                    <w:bottom w:val="none" w:sz="0" w:space="0" w:color="auto"/>
                    <w:right w:val="none" w:sz="0" w:space="0" w:color="auto"/>
                  </w:divBdr>
                </w:div>
                <w:div w:id="1082458398">
                  <w:marLeft w:val="0"/>
                  <w:marRight w:val="0"/>
                  <w:marTop w:val="0"/>
                  <w:marBottom w:val="0"/>
                  <w:divBdr>
                    <w:top w:val="none" w:sz="0" w:space="0" w:color="auto"/>
                    <w:left w:val="none" w:sz="0" w:space="0" w:color="auto"/>
                    <w:bottom w:val="none" w:sz="0" w:space="0" w:color="auto"/>
                    <w:right w:val="none" w:sz="0" w:space="0" w:color="auto"/>
                  </w:divBdr>
                </w:div>
                <w:div w:id="1504198561">
                  <w:marLeft w:val="0"/>
                  <w:marRight w:val="0"/>
                  <w:marTop w:val="0"/>
                  <w:marBottom w:val="0"/>
                  <w:divBdr>
                    <w:top w:val="none" w:sz="0" w:space="0" w:color="auto"/>
                    <w:left w:val="none" w:sz="0" w:space="0" w:color="auto"/>
                    <w:bottom w:val="none" w:sz="0" w:space="0" w:color="auto"/>
                    <w:right w:val="none" w:sz="0" w:space="0" w:color="auto"/>
                  </w:divBdr>
                </w:div>
                <w:div w:id="382021401">
                  <w:marLeft w:val="0"/>
                  <w:marRight w:val="0"/>
                  <w:marTop w:val="0"/>
                  <w:marBottom w:val="0"/>
                  <w:divBdr>
                    <w:top w:val="none" w:sz="0" w:space="0" w:color="auto"/>
                    <w:left w:val="none" w:sz="0" w:space="0" w:color="auto"/>
                    <w:bottom w:val="none" w:sz="0" w:space="0" w:color="auto"/>
                    <w:right w:val="none" w:sz="0" w:space="0" w:color="auto"/>
                  </w:divBdr>
                </w:div>
                <w:div w:id="1831628301">
                  <w:marLeft w:val="0"/>
                  <w:marRight w:val="0"/>
                  <w:marTop w:val="0"/>
                  <w:marBottom w:val="0"/>
                  <w:divBdr>
                    <w:top w:val="none" w:sz="0" w:space="0" w:color="auto"/>
                    <w:left w:val="none" w:sz="0" w:space="0" w:color="auto"/>
                    <w:bottom w:val="none" w:sz="0" w:space="0" w:color="auto"/>
                    <w:right w:val="none" w:sz="0" w:space="0" w:color="auto"/>
                  </w:divBdr>
                </w:div>
                <w:div w:id="512183567">
                  <w:marLeft w:val="0"/>
                  <w:marRight w:val="0"/>
                  <w:marTop w:val="0"/>
                  <w:marBottom w:val="0"/>
                  <w:divBdr>
                    <w:top w:val="none" w:sz="0" w:space="0" w:color="auto"/>
                    <w:left w:val="none" w:sz="0" w:space="0" w:color="auto"/>
                    <w:bottom w:val="none" w:sz="0" w:space="0" w:color="auto"/>
                    <w:right w:val="none" w:sz="0" w:space="0" w:color="auto"/>
                  </w:divBdr>
                </w:div>
                <w:div w:id="1405958134">
                  <w:marLeft w:val="0"/>
                  <w:marRight w:val="0"/>
                  <w:marTop w:val="0"/>
                  <w:marBottom w:val="0"/>
                  <w:divBdr>
                    <w:top w:val="none" w:sz="0" w:space="0" w:color="auto"/>
                    <w:left w:val="none" w:sz="0" w:space="0" w:color="auto"/>
                    <w:bottom w:val="none" w:sz="0" w:space="0" w:color="auto"/>
                    <w:right w:val="none" w:sz="0" w:space="0" w:color="auto"/>
                  </w:divBdr>
                </w:div>
                <w:div w:id="1660965179">
                  <w:marLeft w:val="0"/>
                  <w:marRight w:val="0"/>
                  <w:marTop w:val="0"/>
                  <w:marBottom w:val="0"/>
                  <w:divBdr>
                    <w:top w:val="none" w:sz="0" w:space="0" w:color="auto"/>
                    <w:left w:val="none" w:sz="0" w:space="0" w:color="auto"/>
                    <w:bottom w:val="none" w:sz="0" w:space="0" w:color="auto"/>
                    <w:right w:val="none" w:sz="0" w:space="0" w:color="auto"/>
                  </w:divBdr>
                </w:div>
                <w:div w:id="1926063030">
                  <w:marLeft w:val="0"/>
                  <w:marRight w:val="0"/>
                  <w:marTop w:val="0"/>
                  <w:marBottom w:val="0"/>
                  <w:divBdr>
                    <w:top w:val="none" w:sz="0" w:space="0" w:color="auto"/>
                    <w:left w:val="none" w:sz="0" w:space="0" w:color="auto"/>
                    <w:bottom w:val="none" w:sz="0" w:space="0" w:color="auto"/>
                    <w:right w:val="none" w:sz="0" w:space="0" w:color="auto"/>
                  </w:divBdr>
                </w:div>
                <w:div w:id="1461730886">
                  <w:marLeft w:val="0"/>
                  <w:marRight w:val="0"/>
                  <w:marTop w:val="0"/>
                  <w:marBottom w:val="0"/>
                  <w:divBdr>
                    <w:top w:val="none" w:sz="0" w:space="0" w:color="auto"/>
                    <w:left w:val="none" w:sz="0" w:space="0" w:color="auto"/>
                    <w:bottom w:val="none" w:sz="0" w:space="0" w:color="auto"/>
                    <w:right w:val="none" w:sz="0" w:space="0" w:color="auto"/>
                  </w:divBdr>
                </w:div>
                <w:div w:id="818497720">
                  <w:marLeft w:val="720"/>
                  <w:marRight w:val="0"/>
                  <w:marTop w:val="0"/>
                  <w:marBottom w:val="0"/>
                  <w:divBdr>
                    <w:top w:val="none" w:sz="0" w:space="0" w:color="auto"/>
                    <w:left w:val="none" w:sz="0" w:space="0" w:color="auto"/>
                    <w:bottom w:val="none" w:sz="0" w:space="0" w:color="auto"/>
                    <w:right w:val="none" w:sz="0" w:space="0" w:color="auto"/>
                  </w:divBdr>
                </w:div>
                <w:div w:id="1260795032">
                  <w:marLeft w:val="0"/>
                  <w:marRight w:val="0"/>
                  <w:marTop w:val="0"/>
                  <w:marBottom w:val="0"/>
                  <w:divBdr>
                    <w:top w:val="none" w:sz="0" w:space="0" w:color="auto"/>
                    <w:left w:val="none" w:sz="0" w:space="0" w:color="auto"/>
                    <w:bottom w:val="none" w:sz="0" w:space="0" w:color="auto"/>
                    <w:right w:val="none" w:sz="0" w:space="0" w:color="auto"/>
                  </w:divBdr>
                </w:div>
                <w:div w:id="1335373494">
                  <w:marLeft w:val="0"/>
                  <w:marRight w:val="0"/>
                  <w:marTop w:val="0"/>
                  <w:marBottom w:val="0"/>
                  <w:divBdr>
                    <w:top w:val="none" w:sz="0" w:space="0" w:color="auto"/>
                    <w:left w:val="none" w:sz="0" w:space="0" w:color="auto"/>
                    <w:bottom w:val="none" w:sz="0" w:space="0" w:color="auto"/>
                    <w:right w:val="none" w:sz="0" w:space="0" w:color="auto"/>
                  </w:divBdr>
                </w:div>
                <w:div w:id="78140806">
                  <w:marLeft w:val="0"/>
                  <w:marRight w:val="0"/>
                  <w:marTop w:val="0"/>
                  <w:marBottom w:val="0"/>
                  <w:divBdr>
                    <w:top w:val="none" w:sz="0" w:space="0" w:color="auto"/>
                    <w:left w:val="none" w:sz="0" w:space="0" w:color="auto"/>
                    <w:bottom w:val="none" w:sz="0" w:space="0" w:color="auto"/>
                    <w:right w:val="none" w:sz="0" w:space="0" w:color="auto"/>
                  </w:divBdr>
                </w:div>
                <w:div w:id="94130130">
                  <w:marLeft w:val="0"/>
                  <w:marRight w:val="0"/>
                  <w:marTop w:val="0"/>
                  <w:marBottom w:val="0"/>
                  <w:divBdr>
                    <w:top w:val="none" w:sz="0" w:space="0" w:color="auto"/>
                    <w:left w:val="none" w:sz="0" w:space="0" w:color="auto"/>
                    <w:bottom w:val="none" w:sz="0" w:space="0" w:color="auto"/>
                    <w:right w:val="none" w:sz="0" w:space="0" w:color="auto"/>
                  </w:divBdr>
                </w:div>
                <w:div w:id="1104230668">
                  <w:marLeft w:val="0"/>
                  <w:marRight w:val="0"/>
                  <w:marTop w:val="0"/>
                  <w:marBottom w:val="0"/>
                  <w:divBdr>
                    <w:top w:val="none" w:sz="0" w:space="0" w:color="auto"/>
                    <w:left w:val="none" w:sz="0" w:space="0" w:color="auto"/>
                    <w:bottom w:val="none" w:sz="0" w:space="0" w:color="auto"/>
                    <w:right w:val="none" w:sz="0" w:space="0" w:color="auto"/>
                  </w:divBdr>
                </w:div>
                <w:div w:id="121265841">
                  <w:marLeft w:val="0"/>
                  <w:marRight w:val="0"/>
                  <w:marTop w:val="0"/>
                  <w:marBottom w:val="0"/>
                  <w:divBdr>
                    <w:top w:val="none" w:sz="0" w:space="0" w:color="auto"/>
                    <w:left w:val="none" w:sz="0" w:space="0" w:color="auto"/>
                    <w:bottom w:val="none" w:sz="0" w:space="0" w:color="auto"/>
                    <w:right w:val="none" w:sz="0" w:space="0" w:color="auto"/>
                  </w:divBdr>
                </w:div>
                <w:div w:id="1419011656">
                  <w:marLeft w:val="0"/>
                  <w:marRight w:val="0"/>
                  <w:marTop w:val="0"/>
                  <w:marBottom w:val="0"/>
                  <w:divBdr>
                    <w:top w:val="none" w:sz="0" w:space="0" w:color="auto"/>
                    <w:left w:val="none" w:sz="0" w:space="0" w:color="auto"/>
                    <w:bottom w:val="none" w:sz="0" w:space="0" w:color="auto"/>
                    <w:right w:val="none" w:sz="0" w:space="0" w:color="auto"/>
                  </w:divBdr>
                </w:div>
                <w:div w:id="1930888083">
                  <w:marLeft w:val="0"/>
                  <w:marRight w:val="0"/>
                  <w:marTop w:val="0"/>
                  <w:marBottom w:val="240"/>
                  <w:divBdr>
                    <w:top w:val="none" w:sz="0" w:space="0" w:color="auto"/>
                    <w:left w:val="none" w:sz="0" w:space="0" w:color="auto"/>
                    <w:bottom w:val="none" w:sz="0" w:space="0" w:color="auto"/>
                    <w:right w:val="none" w:sz="0" w:space="0" w:color="auto"/>
                  </w:divBdr>
                </w:div>
                <w:div w:id="816262692">
                  <w:marLeft w:val="0"/>
                  <w:marRight w:val="0"/>
                  <w:marTop w:val="0"/>
                  <w:marBottom w:val="240"/>
                  <w:divBdr>
                    <w:top w:val="none" w:sz="0" w:space="0" w:color="auto"/>
                    <w:left w:val="none" w:sz="0" w:space="0" w:color="auto"/>
                    <w:bottom w:val="none" w:sz="0" w:space="0" w:color="auto"/>
                    <w:right w:val="none" w:sz="0" w:space="0" w:color="auto"/>
                  </w:divBdr>
                </w:div>
                <w:div w:id="909118657">
                  <w:marLeft w:val="0"/>
                  <w:marRight w:val="0"/>
                  <w:marTop w:val="0"/>
                  <w:marBottom w:val="240"/>
                  <w:divBdr>
                    <w:top w:val="none" w:sz="0" w:space="0" w:color="auto"/>
                    <w:left w:val="none" w:sz="0" w:space="0" w:color="auto"/>
                    <w:bottom w:val="none" w:sz="0" w:space="0" w:color="auto"/>
                    <w:right w:val="none" w:sz="0" w:space="0" w:color="auto"/>
                  </w:divBdr>
                </w:div>
                <w:div w:id="1619415042">
                  <w:marLeft w:val="0"/>
                  <w:marRight w:val="0"/>
                  <w:marTop w:val="0"/>
                  <w:marBottom w:val="240"/>
                  <w:divBdr>
                    <w:top w:val="none" w:sz="0" w:space="0" w:color="auto"/>
                    <w:left w:val="none" w:sz="0" w:space="0" w:color="auto"/>
                    <w:bottom w:val="none" w:sz="0" w:space="0" w:color="auto"/>
                    <w:right w:val="none" w:sz="0" w:space="0" w:color="auto"/>
                  </w:divBdr>
                </w:div>
                <w:div w:id="2005473075">
                  <w:marLeft w:val="0"/>
                  <w:marRight w:val="0"/>
                  <w:marTop w:val="0"/>
                  <w:marBottom w:val="240"/>
                  <w:divBdr>
                    <w:top w:val="none" w:sz="0" w:space="0" w:color="auto"/>
                    <w:left w:val="none" w:sz="0" w:space="0" w:color="auto"/>
                    <w:bottom w:val="none" w:sz="0" w:space="0" w:color="auto"/>
                    <w:right w:val="none" w:sz="0" w:space="0" w:color="auto"/>
                  </w:divBdr>
                </w:div>
                <w:div w:id="2138374785">
                  <w:marLeft w:val="0"/>
                  <w:marRight w:val="0"/>
                  <w:marTop w:val="0"/>
                  <w:marBottom w:val="240"/>
                  <w:divBdr>
                    <w:top w:val="none" w:sz="0" w:space="0" w:color="auto"/>
                    <w:left w:val="none" w:sz="0" w:space="0" w:color="auto"/>
                    <w:bottom w:val="none" w:sz="0" w:space="0" w:color="auto"/>
                    <w:right w:val="none" w:sz="0" w:space="0" w:color="auto"/>
                  </w:divBdr>
                </w:div>
                <w:div w:id="382212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abine.almane@fm.gov.lv" TargetMode="External"/><Relationship Id="rId3" Type="http://schemas.openxmlformats.org/officeDocument/2006/relationships/webSettings" Target="webSettings.xml"/><Relationship Id="rId7" Type="http://schemas.openxmlformats.org/officeDocument/2006/relationships/hyperlink" Target="mailto:%20iveta.cirse@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zane.liede@fm.gov.lv" TargetMode="External"/><Relationship Id="rId11" Type="http://schemas.openxmlformats.org/officeDocument/2006/relationships/fontTable" Target="fontTable.xml"/><Relationship Id="rId5" Type="http://schemas.openxmlformats.org/officeDocument/2006/relationships/hyperlink" Target="mailto:%20guna.federe@fm.gov.lv" TargetMode="External"/><Relationship Id="rId10" Type="http://schemas.openxmlformats.org/officeDocument/2006/relationships/hyperlink" Target="mailto:%20ginta.elksnite@fm.gov.lv" TargetMode="External"/><Relationship Id="rId4" Type="http://schemas.openxmlformats.org/officeDocument/2006/relationships/hyperlink" Target="mailto:%20ilga.jermacane@fm.gov.lv" TargetMode="External"/><Relationship Id="rId9" Type="http://schemas.openxmlformats.org/officeDocument/2006/relationships/hyperlink" Target="mailto:%20alvis.bles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8480</Words>
  <Characters>4834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Jana Lūsvere</cp:lastModifiedBy>
  <cp:revision>1</cp:revision>
  <dcterms:created xsi:type="dcterms:W3CDTF">2021-02-12T11:36:00Z</dcterms:created>
  <dcterms:modified xsi:type="dcterms:W3CDTF">2021-02-12T11:37:00Z</dcterms:modified>
</cp:coreProperties>
</file>