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Vides aizsardzības un reģionālās attīstības ministrijas izstrādāto MK noteikumu projektu. Neskatoties uz faktu, ka noteikumu projekts ir paredzēts, lai nodrošinātu ANM atbalsta programmās nefinansēto, augstas gatavības projekta atbalstu ES struktūrfondu ietvaros, Ekonomikas ministrija vēlas vērst uzmanību uz VARAM izstrādāto MK noteikumu ietekmi attiecībā uz jaunās Energoefektivitātes direktīvas prasību izpildi. Proti, līdz ar jauno ES regulējumu dalībvalstij uzliktais mērķis -  katru gadu atjaunot vismaz 3% no ēku kopējās platības, kas pieder publiskajām struktūrām ir attiecināms arī uz pašvaldībām, proti, minētajā mērķī ietilpst arī pašvaldībām piederošas ēkas. Ņemot vērā iepriekš minēto, lūdzam VARAM anotācijā skaidrot MK noteikumu ietekmi un iepriekš minētā direktīvā izvirzīto mērķi, kā arī norādīt ar nepieciešamību ziņot atbalsta programmas ietvaros sasniegto primārās enerģijas ietaupījumu ne tikai KPVIS kā ES fondu administrēšanas sistēmā, bet arī šādas ziņas sniegt Ekonomikas ministrijai kā kompetentai institūcijai par direktīvā izvirzītā mērķa monitorēšanu.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Eberharde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25.04.2024.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25.04.2024.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