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izmantojot  Eiropas Komisijas elektroniskās paziņošanas sistēmu,20 darbdienu laikā no atbalsta pasākuma stāšanās spēkā nosūtīs kopsavilkuma informāciju Regulas Nr. 651/2014 II pielikumā noteiktajā standartizētajā formātā par atbalsta pasākumu ir jāinformē Finanšu ministrija savukārt par kopsavilkuma informāciju Regulas 2022/2472 II pielikumā un Regulas 2022/2473 II pielikumā noteiktajā standartizētajā formātā jāinformē Zemkopības ministrija. Lūdzam atbilstoši precizēt anotācijas 5.3.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ERAF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atsevišķi katram 3.1.1.7 un 13.1.1.1 pasākumam, nepārsniedzot kopējo ERAF finansējumu, kas pasākumam atbilstošajam specifiskajam atbalsta mērķim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vai 3.3. punktu. Papildus sabiedrībai "Altum" ir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lai nepārprotami būtu skaidrs no kādiem finanšu avotiem tiks izsniegti aizdevumi investīcijām 7.3. un 7.4. apakšpunktā minētajiem saimnieciskās darbības veicējiem, kā arī apgrozāmo līdzekļu aizdevumi 7.1., 7.3. un 7.4. apakšpunktā minētajiem saimnieciskās darbības veicējiem.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Viena mēneša laikā pēc aizdevuma piešķiršanas sabiedrība "Altum" savā tīmekļvietnē ievieto informāciju par aizdevuma saņēmēju, aizdevuma izlietojuma mērķi, aizdevuma summu un aizdevuma piešķiršanas datumu. Par aizdevumu, kas izsniegts saskaņā ar Komisijas regulu Nr. 2022/2472, finanšu institūcija nodrošina informācijas publicēšanu atbilstoši Komisijas regulas Nr. 2022/2472 9. panta 1. punkta c) apakšpunktā un 3.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12.</w:t>
            </w:r>
            <w:r w:rsidR="00000000" w:rsidRPr="00000000" w:rsidDel="00000000">
              <w:rPr>
                <w:vertAlign w:val="superscript"/>
                <w:rtl w:val="0"/>
              </w:rPr>
              <w:t xml:space="preserve">2</w:t>
            </w:r>
            <w:r w:rsidR="00000000" w:rsidRPr="00000000" w:rsidDel="00000000">
              <w:rPr>
                <w:rtl w:val="0"/>
              </w:rPr>
              <w:t xml:space="preserve"> punktu, jo jāpaildina ar regulu 2022/2473 par aizdevumu, kas izsniegts saskaņā ar  regulu Nr. 2022/2473, finanšu institūcija nodrošina informācijas publicēšanu atbilstoši  regulas Nr. 2022/2473 9. panta 1. punkta c) apakšpunktā un 3.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Viena mēneša laikā pēc aizdevuma piešķiršanas sabiedrība "Altum" savā tīmekļvietnē ievieto informāciju par aizdevuma saņēmēju, aizdevuma izlietojuma mērķi, aizdevuma summu un aizdevuma piešķiršanas datumu. Par aizdevumu, kas izsniegts saskaņā ar Komisijas regulu Nr. 2022/2472, finanšu institūcija nodrošina informācijas publicēšanu atbilstoši regulas Nr. 2022/2472 9. panta 1. punkta c) apakšpunktā un 3. punktā noteiktajām prasībām, par aizdevumu, kas izsniegts saskaņā ar regulas 2022/2473  atbilstoši regulas 2022/2473  9. panta 1. punkta c) apakšpunktā un 3.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vai Komisijas regulas Nr. 1408/2013 3. panta 3. punktā noteikto maksimālo apmēru attiecīgajā fiskālajā gadā un iepriekšējos divos fiskālajos gados – apmēru viena vienota uzņēmuma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34.1. apakšpunktā nepieciešams veikt precizējumu, jo maksimālā atbalsta intensitāte, ko piešķir saskaņā ar Komisijas regulu Nr. 1408/2013 ir noteikta Komisijas regulas Nr. 1408/2013 3. panta 3. punkta "a" apakšpunktā, nevis Komisijas regulas Nr. 1408/2013 3. panta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individuālā atbalsta projekta ietvaros saņemto atbalstu, ja kopējā atbalsta intensitāte nepārsniedz Komisijas regulā Nr. 651/2014 vai Eiropas Komisijas apstiprinātajā atbalsta programmā, vai individuālajā atbalsta projektā noteikto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atbalstu investīcijām saskaņā ar regulu 2022/2472 un regulu 2022/2473 ir jānodrošina regulas 2022/2472 8. panta 3. un 7. un 8. punktā vai regulas 2022/2473 8. panta 2. un 3. punktā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atbilstoši papildināt 34. 2. apakšpunktu. Neizslēdzot Regulas Nr. 651/2014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individuālā atbalsta projekta ietvaros saņemto atbalstu, ja kopējā atbalsta intensitāte nepārsniedz regulas 2022/2472 vai regulas 2022/2473 vai Eiropas Komisijas apstiprinātajā atbalsta programmā, vai individuālajā atbalsta projektā noteikto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Sabiedrība "Altum" nodrošina informācijas pieejamību 10 gadus, skaitot no dienas, kad ir piešķirts pēdējais atbalsts saskaņā ar atbalsta shēmu, un saimnieciskās darbības veicējs par </w:t>
            </w:r>
            <w:r w:rsidR="00000000" w:rsidRPr="00000000" w:rsidDel="00000000">
              <w:rPr>
                <w:i w:val="1"/>
                <w:rtl w:val="0"/>
              </w:rPr>
              <w:t xml:space="preserve">de minimis</w:t>
            </w:r>
            <w:r w:rsidR="00000000" w:rsidRPr="00000000" w:rsidDel="00000000">
              <w:rPr>
                <w:rtl w:val="0"/>
              </w:rPr>
              <w:t xml:space="preserve"> atbalstu, kas piešķirts saskaņā ar Komisijas regulu Nr. </w:t>
            </w:r>
            <w:r w:rsidR="00000000" w:rsidRPr="00000000" w:rsidDel="00000000">
              <w:rPr>
                <w:rtl w:val="0"/>
              </w:rPr>
              <w:t xml:space="preserve">1407/2013</w:t>
            </w:r>
            <w:r w:rsidR="00000000" w:rsidRPr="00000000" w:rsidDel="00000000">
              <w:rPr>
                <w:rtl w:val="0"/>
              </w:rPr>
              <w:t xml:space="preserve">, Komisijas regulu Nr. </w:t>
            </w:r>
            <w:r w:rsidR="00000000" w:rsidRPr="00000000" w:rsidDel="00000000">
              <w:rPr>
                <w:rtl w:val="0"/>
              </w:rPr>
              <w:t xml:space="preserve">1408/2013</w:t>
            </w:r>
            <w:r w:rsidR="00000000" w:rsidRPr="00000000" w:rsidDel="00000000">
              <w:rPr>
                <w:rtl w:val="0"/>
              </w:rPr>
              <w:t xml:space="preserve"> un Komisijas regulu Nr. </w:t>
            </w:r>
            <w:r w:rsidR="00000000" w:rsidRPr="00000000" w:rsidDel="00000000">
              <w:rPr>
                <w:rtl w:val="0"/>
              </w:rPr>
              <w:t xml:space="preserve">717/2014</w:t>
            </w:r>
            <w:r w:rsidR="00000000" w:rsidRPr="00000000" w:rsidDel="00000000">
              <w:rPr>
                <w:rtl w:val="0"/>
              </w:rPr>
              <w:t xml:space="preserve">, nodrošina informācijas pieejamību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37</w:t>
            </w:r>
            <w:r w:rsidR="00000000" w:rsidRPr="00000000" w:rsidDel="00000000">
              <w:rPr>
                <w:vertAlign w:val="superscript"/>
                <w:rtl w:val="0"/>
              </w:rPr>
              <w:t xml:space="preserve">.2</w:t>
            </w:r>
            <w:r w:rsidR="00000000" w:rsidRPr="00000000" w:rsidDel="00000000">
              <w:rPr>
                <w:rtl w:val="0"/>
              </w:rPr>
              <w:t xml:space="preserve"> punktu, ka informāciju par atbalstu, kas piešķirts saskaņā ar regula 2022/2472 vai regulu 2022/2473 atbalsta saņēmējs glabā 10 gadus no atbalsta piešķiršanas dienas, savukārt akciju sabiedrība "Attīstības finanšu institūcija Altum" datus par izmaksāto atbalstu saskaņā ar regula 2022/2472 vai regulu 2022/2473  glabā 10 gadus, sākot no dienas, kad ir piešķirts pēdējais atbalsts šajos noteikumos minētajiem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Sabiedrība "Altum" nodrošina informācijas pieejamību 10 gadus, skaitot no dienas, kad ir piešķirts pēdējais atbalsts saskaņā ar atbalsta shēmu, un saimnieciskās darbības veicējs par de minimis atbalstu, kas piešķirts saskaņā ar Komisijas regulu Nr. 1407/2013, Komisijas regulu Nr. 1408/2013, Komisijas regulu Nr. 717/2014, regulu 2022/2472 vai regulu 2022/2473 nodrošina informācijas pieejamību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šajos noteikumos noteiktās komercdarbības atbalsta kontroles normas, tostarp nosacījumi, kas izriet no Komisijas regulas Nr. 651/2014 vai Komisijas regulas Nr. </w:t>
            </w:r>
            <w:r w:rsidR="00000000" w:rsidRPr="00000000" w:rsidDel="00000000">
              <w:rPr>
                <w:rtl w:val="0"/>
              </w:rPr>
              <w:t xml:space="preserve">1407/2013</w:t>
            </w:r>
            <w:r w:rsidR="00000000" w:rsidRPr="00000000" w:rsidDel="00000000">
              <w:rPr>
                <w:rtl w:val="0"/>
              </w:rPr>
              <w:t xml:space="preserve">,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37.4 punktu ar nelikumīgi piešķirtu komercdarbības atbalstu attiecībā uz regulu 2022/2472 un regulu 2022/2473, kā arī neatbilstoši piešķirtu de minimis atbalstu attiecībā uz pārkāptas  Komisijas regulas Nr. 1408/2013 un Komisijas regulas Nr. 717/2014. Neizslēdzot Regulas Nr. 651/2014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pārkāptas regulas 2022/2472 vai regulas 2022/2473 prasības, sabiedrība "Altum" uzliek par pienākumu atbalsta saņēmējam atmaksāt sabiedrībai "Altum" saņemto nelikumīgo komercdarbības atbalstu. Ja pārkāptas  Komisijas regulas Nr. 1408/2013 vai Komisijas regulas Nr. 717/2014 prasības, sabiedrība "Altum" atbalsta saņēmējam uzliek par pienākumu atmaksāt sabiedrībai "Altum" visu atbalsta pasākumā saņemto komercdarbības atbalstu. Atbalsta summu atmaksā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23-TA-1000</w:t>
    </w:r>
    <w:r>
      <w:br/>
    </w:r>
    <w:r w:rsidR="00000000" w:rsidRPr="00000000" w:rsidDel="00000000">
      <w:rPr>
        <w:rtl w:val="0"/>
      </w:rPr>
      <w:t xml:space="preserve">Izdrukāts 08.09.2023. 08.12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23-TA-1000</w:t>
    </w:r>
    <w:r>
      <w:br/>
    </w:r>
    <w:r w:rsidR="00000000" w:rsidRPr="00000000" w:rsidDel="00000000">
      <w:rPr>
        <w:rtl w:val="0"/>
      </w:rPr>
      <w:t xml:space="preserve">Izdrukāts 08.09.2023. 08.12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Atzinumi_23-TA-1000.docx</dc:title>
</cp:coreProperties>
</file>

<file path=docProps/custom.xml><?xml version="1.0" encoding="utf-8"?>
<Properties xmlns="http://schemas.openxmlformats.org/officeDocument/2006/custom-properties" xmlns:vt="http://schemas.openxmlformats.org/officeDocument/2006/docPropsVTypes"/>
</file>