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23-TA-2314: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Mēslošanas līdzekļu aprites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"12) pārbauda darbību veicēja iesniegtā detonācijnoturības testa atbilstību regulas </w:t>
            </w:r>
            <w:r w:rsidR="00000000" w:rsidRPr="00000000" w:rsidDel="00000000">
              <w:rPr>
                <w:rtl w:val="0"/>
              </w:rPr>
              <w:t xml:space="preserve">2019/1009</w:t>
            </w:r>
            <w:r w:rsidR="00000000" w:rsidRPr="00000000" w:rsidDel="00000000">
              <w:rPr>
                <w:rtl w:val="0"/>
              </w:rPr>
              <w:t xml:space="preserve"> IV pielikumā noteiktajam un piecu darbdienu laikā no testa iesniegšanas dienas nosūta darbību veicējam un muitas iestādēm apliecinājumu par detonācijnoturības testa atbilstību.".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attiecīgi precizēt, konkretizēt un/vai izvērst likumprojekta 5. panta redakciju un papildināt anotāciju, lai konkrētā procedūra tiktu noregulēta pilnībā un tiesību normu piemērotājam būtu nepārprotami saprotams, kā un kādos gadījumos tā attiecināma.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likumprojekta 5. panta izriet tas, ka Valsts augu aizsardzības dienests pārbauda darbību veicēja iesniegtā detonācijnoturības testa atbilstību Eiropas Parlamenta un Padomes 2019. gada 5. jūnija Regulas (ES) 2019/1009, ar ko nosaka noteikumus par to, kā tirgū dara pieejamus ES mēslošanas līdzekļus, un ar ko groza Regulas (EK) Nr. 1069/2009 un (EK) Nr. 1107/2009 un atceļ Regulu (EK) Nr. 2003/2003 (turpmāk - regula 2019/1009) IV pielikumā noteiktajam un nosūta darbību veicējam un muitas iestādēm apliecinājumu par detonācijnoturības testa atbilstību. Taču nav noteikts un skaidrots, kāda ir rīcība gadījumā, ja, pārbaudot iesniegto detonācijnoturības testu, tiek konstatēts, ka tas neatbilst regulas 2019/1009 IV pielikumā noteiktajam. Proti, no likumprojekta 5. panta saprotama automātiska apliecinājuma izsniegšana par detonācijnoturības testa atbilstību, bet ne par neatbilstību vai tālāko rīcību neatbilstības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izvērtēt un papildus konkrētāk skaidrot arī to, vai likumprojektā plānotās procedūras rezultātā neradīsies situācijas, kurās Latvija var kavēt to, ka tirgū tiek darīti pieejami mēslošanas līdzekļi, kas, pamatojoties uz Eiropas Savienības tiesību aktiem, ir atzīstami, kā atbilstoši mēslošanas līdzekļi un var tikt pakļauti laišanai brīvā apgrozībā vai vešanai tranzītā, jo regula 2019/1009 nenosaka, piemēram, nepieciešamība detonācijnoturības testu iesniegt atkārtoti pirms mēslošanas līdzekļu laišanas brīvā apgrozībā vai vešanas tranzītā, vai obligātu nepieciešamību pēc apliecinājuma par detonācijnoturības testa atbilstību. Vienlaicīgi izvērtējot arī to, vai šādā veidā pretēji anotācijas 5.4. apakšsadaļas 1. tabulā iekļautajam skaidrojumam, tomēr netiek noteiktas stingrākas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"(4) Muitas iestādes amonija nitrāta mēslošanas līdzekļus, kuros slāpekļa saturs pārsniedz 28 procentus, izlaiž muitas procedūrā:</w:t>
            </w:r>
            <w:r w:rsidR="00000000" w:rsidRPr="00000000" w:rsidDel="00000000">
              <w:rPr>
                <w:rtl w:val="0"/>
              </w:rPr>
              <w:t xml:space="preserve">1) tranzīts, ja muitas deklarācijai ir pievienots testēšanas ziņojums par veikto detonācijnoturības pārbaudi, ievērojot regulas </w:t>
            </w:r>
            <w:r w:rsidR="00000000" w:rsidRPr="00000000" w:rsidDel="00000000">
              <w:rPr>
                <w:rtl w:val="0"/>
              </w:rPr>
              <w:t xml:space="preserve">2019/1009</w:t>
            </w:r>
            <w:r w:rsidR="00000000" w:rsidRPr="00000000" w:rsidDel="00000000">
              <w:rPr>
                <w:rtl w:val="0"/>
              </w:rPr>
              <w:t xml:space="preserve"> IV pielikumā minēto, (turpmāk — detonācijnoturības tests) vai tā kopija un detonācijnoturības tests nav vecāks par trim mēnešiem no testa veikšanas brīža;</w:t>
            </w:r>
            <w:r w:rsidR="00000000" w:rsidRPr="00000000" w:rsidDel="00000000">
              <w:rPr>
                <w:rtl w:val="0"/>
              </w:rPr>
              <w:t xml:space="preserve">2) laišana brīvā apgrozībā, ja muitas deklarācijai ir pievienots detonācijnoturības tests vai tā kopija un detonācijnoturības tests nav vecāks par trim mēnešiem no testa veikšanas brīža, kā arī pievienots Valsts augu aizsardzības dienesta (turpmāk — dienests) apliecinājums par detonācijnoturības testa atbilstību.".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likumprojektu kontekstā ar citām Mēslošanas līdzekļu aprites likuma (turpmāk - Likums) tiesību normām, nodrošinot tā korektu un salāgotu redakciju. Vēršam uzmanību, ka, piemēram, tiek pieteikts saīsinājums "detonācijnoturības tests", bet tajā pašā laikā Likumā jau ir minēts vienkārši "detonācijas tests", kas šķietami ir saistīts termins.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veikt nepieciešamos precizējumus anotācijas 1.1. apakšsadaļā sniegtajā likumprojekta pamatojuma aprakstā. Pašlaik izstrādes pamatojuma aprakstā drīzāk norādīts likumprojekta mērķis un satura apraksts, nevis sniegts pamatojuma, ministrijas/iestādes iniciatīvas skaidrojums.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nepieciešamības gadījumā precizēt anotācijas 1.3. apakšsadaļas risinājuma aprakstā ietvertos likumprojekta skaidrojumus. Vēršam uzmanību, ka pašreizējais skaidrojums šķietami nenodrošina pilnīgi precīzu un tiesību normu piemērotājam viennozīmīgi saprotamu likumprojekta skaidrojumu.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skaidrojot likumprojekta 2. pantu nav norādes uz detonācijnoturības testa kopijas pievienošanas iespēju muitas deklarācijai;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Likumprojekta 3. un 4. panta skaidrojumus iesakām neapvienot un skaidrot katru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skaidrojuma daļa par nepieciešamību noteikt prasības darbību veicējam iesniegt dienestā detonācijnoturības testu vismaz piecas darbdienas, bet ne agrāk kā 15 darbdienas pirms mēslošanas līdzeklis tiek ievests Latvijā no trešās valsts šķietami attiecināms tikai uz likumprojekta 3. pantu (Likuma 5. panta 1. daļas 3.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problēmas aprakstā norādīts uz to, ka likumprojektā jānosaka detonācijnoturības testa nepieciešamība un pārbaude, kad šie mēslošanas līdzekļi tiek ievesti Latvijā vai vesti tranzītā caur valsti, bet no likumprojekta izriet arī to nepieciešamība pirms laišanas brīvā apgrozībā.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iesakām papildināt skaidrojumus arī ar konkrētāku informāciju par apgrūtinošajiem apstākļiem komersantiem, kuru dēļ ir nepieciešams noteikt spēkā stāšanos 2025. gada maijā, lai nodrošinātu iespēju sagatavoties plānotajiem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5.4. apakšsadaļas 1.tabulas un 1.3. apakšsadaļas skaidrojumus,  nepieciešamības gadījumā veicot vajadzīgos precizējumus. Vēršam uzmanību, ka no likumprojekta un anotācijas 5.4. apakšsadaļas 1. tabulas izriet Regulas 2019/1009 IV pielikuma ieviešana tikai likumprojekta 2. un 5. pantā. Tajā pašā laikā anotācijas 1.3. apakšsadaļā, skaidrojot likumprojekta 3. un 4. pantu, arī uz tiem tiek attiecināts iepriekš minētās regulas IV pielikums. Attiecīgi iesakām izvērtēt, vai nav veicami papildinājumi anotācijas 5.4. apakšsadaļas 1. tabulā vai precizējumi anotācijas 1.3. apakšsadaļā sniegtajos skaidrojumos.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likumprojekta iespējamo horizontālo ietekmi uz vidi, jo ņemot vērā anotācijā sniegto informāciju un likumprojekta redakciju, tas šķietami ietekmē vidi. Nepieciešamības gadījumā iesakām papildināt anotācijas 8.sadaļu.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23-TA-2314</w:t>
    </w:r>
    <w:r>
      <w:br/>
    </w:r>
    <w:r w:rsidR="00000000" w:rsidRPr="00000000" w:rsidDel="00000000">
      <w:rPr>
        <w:rtl w:val="0"/>
      </w:rPr>
      <w:t xml:space="preserve">Izdrukāts 18.04.2024. 11.30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23-TA-2314</w:t>
    </w:r>
    <w:r>
      <w:br/>
    </w:r>
    <w:r w:rsidR="00000000" w:rsidRPr="00000000" w:rsidDel="00000000">
      <w:rPr>
        <w:rtl w:val="0"/>
      </w:rPr>
      <w:t xml:space="preserve">Izdrukāts 18.04.2024. 11.30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Atzinumi_23-TA-2314.docx</dc:title>
</cp:coreProperties>
</file>

<file path=docProps/custom.xml><?xml version="1.0" encoding="utf-8"?>
<Properties xmlns="http://schemas.openxmlformats.org/officeDocument/2006/custom-properties" xmlns:vt="http://schemas.openxmlformats.org/officeDocument/2006/docPropsVTypes"/>
</file>