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iesniedzēja tiesības veikt ieguldījumus nekustamajā īpašumā nostiprina zemesgrāmatā līdz projekta noslēguma maksājuma veikšanai, izņemot gadījumu, ja valsts vai pašvaldības īpašums uz normatīvā akta, līguma vai attiecīga lēmuma pamata ir nodots pašvaldības, tās kapitālsabiedrības vai iestādes - projekta iesniedzēja – pārvaldīšanā vai noslēgts patapinājuma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 Savukārt pašvaldības administrācija (pašvaldības iestādes un amatpersonas) ir pastarpinātā pārvalde, kuru dome izveido pašvaldībai noteikto funkciju un uzdevumu izpildes nodrošināšanai (Pašvaldību likuma 20. panta pirmā daļa). Līdz ar to pašvaldība savas funkcijas īsteno  ar tās institūciju, tostarp ar iestāžu, starpniecību. Vienlaikus norādām, ka pašvaldība kā publiska persona un pašvaldības kapitālsabiedrība kā privāto tiesību juridiska persona ir atsevišķi patstāvīgi tiesību subjekti. Turklāt norādām, ka saskaņā ar Ministru kabineta noteikumu 2024. gada 19. novembra Nr. 726 "Eiropas Savienības kohēzijas politikas programmas 2021.–2027. gadam 2.3.1. specifiskā atbalsta mērķa "Veicināt ilgtspējīgu daudzveidu mobilitāti pilsētās" 2.3.1.2. pasākuma "Multimodāls sabiedriskā transporta tīkls" īstenošanas noteikumi" 19.punktu projektu iesniedzēji ir pašvaldības un pašvaldību kapitālsabiedrības.Tādējādi svītrojami normā vārdi  "vai iestādes". Turklāt norādām, ka rīkoties ar pašvaldība mantu var tikai ar pašvaldības pilnvarojumu. Pašvaldības kompetencē ir pilnvarot pašvaldības iestādi vai citu personu pārstāvēt pašvaldību konkrētā projektā. Pašvaldības mantas pārvaldīšanas līgums un patapinājuma līgums pēc savas būtības nav uzskatāms par pašvaldības pilnvarojumu pārstāvēt pašvaldību attiecīgajā projektā. Tādējādi lūdzam pārskatīt tiesību normas redakciju, kā arī noteikumu 69.1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Gadījumā, ja sabiedrisko ūdenssaimniecības pakalpojumu sniedzējs ir pašvaldība, pašvaldība pieņem lēmumu par sabiedrisko ūdenssaimniecības pakalpojumu sniegšanu. Lēmumā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normā paredzētās prasības nenoteikt pašvaldības lēmumam par sabiedrisko ūdenssaimniecības pakalpojumu sniegšanu, bet noteikt pašvaldībai (projekta iesniedzējai) attiecīgus nosacījumus, jo Ūdenssaimniecības pakalpojumu likums regulē ūdenssaimniecības pakalpojumus, tostarp pašvaldības tiesības pieņemt lēmumu par sabiedrisko ūdenssaimniecības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03.09.2025.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03.09.2025.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