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Stratēģiskas nozīmes preču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 nav sodīti, pat ja sodāmība dzēsta vai noņemta, par Krimināllikuma  116., 117., 118. pantā, 175. panta ceturtajā daļā (stipri iedarbīgo, indīgo vai radioaktīvo vielu, sprāgstvielu, šaujamieroču vai munīcijas zādzība), 176. panta trešajā daļā (stipri iedarbīgo, indīgo vai radioaktīvo vielu, sprāgstvielu, šaujamieroču vai munīcijas laupīšana), 176. panta ceturtajā daļā (laupīšana, ja tā izdarīta, lietojot šaujamieročus vai sprāgstošas vielas), 177. panta trešajā daļā (krāpšana, ja tā izdarīta, iegūstot stipri iedarbīgās, indīgās vai radioaktīvās vielas, sprāgstvielas, šaujamieročus vai munīciju), 179. panta trešajā daļā (stipri iedarbīgo, indīgo vai radioaktīvo vielu, sprāgstvielu, šaujamieroču vai munīcijas piesavināšanās), 233. panta trešajā daļā, 234. panta trešajā daļā, 236. panta otrajā daļā un 237. panta otrajā daļā minētajiem noziedzīgajiem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Stratēģiskas nozīmes preču aprites likuma 5. panta ceturtās daļas 7. punkts paredz, ka atļauja (licence) netiek izsniegta, ja persona sodīta par Krimināllikuma 233., 234., 236. un 237. pantā minētajiem noziedzīgajiem nodarījumiem. Savukārt likumprojekts paredz, ka atļauja (licence) netiek izsniegta, ja persona sodīta par Krimināllikuma 233. panta trešajā daļā, 234. panta trešajā daļā, 236. panta otrajā daļā un 237. panta otrajā daļā minētajiem noziedzīgajiem nodarījumiem. Attiecīgi secināms, ka atļauja (licence) būs izsniedzama gadījumā, ja persona sodīta par Krimināllikuma 233. panta pirmajā daļā (</w:t>
            </w:r>
            <w:r w:rsidR="00000000" w:rsidRPr="00000000" w:rsidDel="00000000">
              <w:rPr>
                <w:i w:val="1"/>
                <w:rtl w:val="0"/>
              </w:rPr>
              <w:t xml:space="preserve">šaujamieroča, šaujamieroča būtisko sastāvdaļu, šaujamieroča munīcijas, lielas enerģijas pneimatiskā ieroča, sprāgstvielas vai spridzināšanas ietaises realizēšana personai, kurai nav attiecīgas atļaujas vai speciālas atļaujas (licences), ja to izdarījusi persona, kurai ir attiecīga realizēšanas atļauja vai speciāla atļauja (licence)</w:t>
            </w:r>
            <w:r w:rsidR="00000000" w:rsidRPr="00000000" w:rsidDel="00000000">
              <w:rPr>
                <w:rtl w:val="0"/>
              </w:rPr>
              <w:t xml:space="preserve">), otrajā daļā (</w:t>
            </w:r>
            <w:r w:rsidR="00000000" w:rsidRPr="00000000" w:rsidDel="00000000">
              <w:rPr>
                <w:i w:val="1"/>
                <w:rtl w:val="0"/>
              </w:rPr>
              <w:t xml:space="preserve">šaujamieroča, šaujamieroča būtisko sastāvdaļu, šaujamieroča munīcijas, lielas enerģijas pneimatiskā ieroča, sprāgstvielas vai spridzināšanas ietaises izgatavošana, remontēšana, iegādāšanās, glabāšana, nēsāšana, pārvadāšana, pārsūtīšana vai realizēšana bez attiecīgas atļaujas</w:t>
            </w:r>
            <w:r w:rsidR="00000000" w:rsidRPr="00000000" w:rsidDel="00000000">
              <w:rPr>
                <w:rtl w:val="0"/>
              </w:rPr>
              <w:t xml:space="preserve">), 234. panta pirmajā daļā (</w:t>
            </w:r>
            <w:r w:rsidR="00000000" w:rsidRPr="00000000" w:rsidDel="00000000">
              <w:rPr>
                <w:i w:val="1"/>
                <w:rtl w:val="0"/>
              </w:rPr>
              <w:t xml:space="preserve">gāzes pistoles (revolvera) vai tai paredzētas ar kairinošas vai paralizējošas iedarbības vielām pildītas munīcijas izgatavošana bez attiecīgas atļaujas</w:t>
            </w:r>
            <w:r w:rsidR="00000000" w:rsidRPr="00000000" w:rsidDel="00000000">
              <w:rPr>
                <w:rtl w:val="0"/>
              </w:rPr>
              <w:t xml:space="preserve">), otrajā daļā (</w:t>
            </w:r>
            <w:r w:rsidR="00000000" w:rsidRPr="00000000" w:rsidDel="00000000">
              <w:rPr>
                <w:i w:val="1"/>
                <w:rtl w:val="0"/>
              </w:rPr>
              <w:t xml:space="preserve">gāzes pistoles (revolvera) pielietošanas vai izmantošanas nosacījumu vai kārtības pārkāpšana, ja ar to radīts būtisks kaitējums</w:t>
            </w:r>
            <w:r w:rsidR="00000000" w:rsidRPr="00000000" w:rsidDel="00000000">
              <w:rPr>
                <w:rtl w:val="0"/>
              </w:rPr>
              <w:t xml:space="preserve">), 236. panta pirmajā daļā (</w:t>
            </w:r>
            <w:r w:rsidR="00000000" w:rsidRPr="00000000" w:rsidDel="00000000">
              <w:rPr>
                <w:i w:val="1"/>
                <w:rtl w:val="0"/>
              </w:rPr>
              <w:t xml:space="preserve">šaujamieroča, šaujamieroča būtisko sastāvdaļu, šaujamieroča munīcijas, lielas enerģijas pneimatiskā ieroča, sprāgstvielas vai spridzināšanas ietaises glabāšana, nēsāšana, pārvadāšana vai pārsūtīšana, pārkāpjot normatīvos aktus, ja tā rezultātā kāds no minētajiem priekšmetiem nozaudēts vai to ieguvusi cita persona</w:t>
            </w:r>
            <w:r w:rsidR="00000000" w:rsidRPr="00000000" w:rsidDel="00000000">
              <w:rPr>
                <w:rtl w:val="0"/>
              </w:rPr>
              <w:t xml:space="preserve">), kā arī 237. panta pirmajā daļā (</w:t>
            </w:r>
            <w:r w:rsidR="00000000" w:rsidRPr="00000000" w:rsidDel="00000000">
              <w:rPr>
                <w:i w:val="1"/>
                <w:rtl w:val="0"/>
              </w:rPr>
              <w:t xml:space="preserve">šaujamieroča vai lielas enerģijas pneimatiskā ieroča pielietošanas vai izmantošanas nosacījumu vai kārtības pārkāpšana vai sprāgstvielu un spridzināšanas ietaišu izmantošanas kārtības pārkāpšana, ja to izdarījusi persona, kurai atļauts iegādāties, glabāt vai nēsāt šaujamieroci vai lielas enerģijas pneimatisko ieroci vai kurai ir tiesības izmantot sprāgstvielas un spridzināšanas ietaises, un ja ar to radīts būtisks kaitējums</w:t>
            </w:r>
            <w:r w:rsidR="00000000" w:rsidRPr="00000000" w:rsidDel="00000000">
              <w:rPr>
                <w:rtl w:val="0"/>
              </w:rPr>
              <w:t xml:space="preserve">)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likumprojekta sākotnējās ietekmes novērtējuma ziņojumu (anotāciju), sniedzot detalizētāku informāciju par nepieciešamību mīkstināt spēkā esošajā tiesiskajā regulējumā paredzētos ierobežojumus saistībā ar personas iepriekš izdarītajiem noziedzīgajiem nodarījumiem.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"12) nav ierobežotas (atņemtas uz laiku vai anulētas) ieroču un munīcijas, to sastāvdaļu un speciālo līdzekļu  iegādāšanās, glabāšanas, nēsāšanas, pārvadāšanas, pārsūtīšanas tiesības vai tiesības nodarboties ar komercdarbību ieroču aprites jomā  - kamēr nav pagājis gads pēc soda izpildes vai tiesību anulēšanas."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Stratēģiskas nozīmes preču aprites likuma 5. panta ceturtās daļas 5. punkts paredz, ka speciālo atļauju (licenci) komercdarbībai ar Eiropas Savienības Kopējā militāro preču sarakstā minētajām precēm ir tiesīgi saņemt Latvijas Republikā reģistrēti individuālie komersanti vai komercsabiedrības, ja to dalībnieki (fiziskās personas), izņemot akcionārus, kuru līdzdalība sabiedrības pamatkapitālā ir mazāka par 10 procentiem no sabiedrības pamatkapitāla, patiesie labuma guvēji, prokūristi, vadītāji un personas, kas ieņem amatus pārvaldes institūcijās, kā arī darbinieki, kas tieši saistīti ar Eiropas Savienības Kopējā militāro preču sarakstā minēto preču ražošanu, remontu, realizēšanu, glabāšanu, transportēšanu, ar tiem saistīto pakalpojumu sniegšanu vai apsardzi, ja tie nav administratīvi sodīti par ieroču un munīcijas, to sastāvdaļu un speciālo līdzekļu iegādāšanās, glabāšanas, nēsāšanas, pārvadāšanas, pārsūtīšanas un realizēšanas noteikumu pārkāpumiem — kamēr nav pagājis gads pēc administratīvā soda izpildes vai, ja sods nav izpildīts, kamēr nav pagājis gads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spēkā esošais likums paredz, ka attiecīgo atļauju (licenci) neizsniedz, ja ir izdarīts jebkurš administratīvais pārkāpums par ieroču un munīcijas, to sastāvdaļu un speciālo līdzekļu iegādāšanās, glabāšanas, nēsāšanas, pārvadāšanas, pārsūtīšanas un realizēšanas noteikumu pārkāpumiem, neatkarīgi no tā, vai par šo pārkāpumu personai ir vai nav piemērots sods, kas saistīts ar tiesību atņemšanu vai ierobežošanu ieroču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likumprojekta izriet, ka speciālo atļauju (licenci) neizsniedz, ja Stratēģiskas nozīmes preču aprites likuma 5. panta ceturtās daļas ievaddaļā minētajām personām ir ierobežotas (atņemtas uz laiku vai anulētas) ieroču un munīcijas, to sastāvdaļu un speciālo līdzekļu  iegādāšanās, glabāšanas, nēsāšanas, pārvadāšanas, pārsūtīšanas tiesības vai tiesības nodarboties ar komercdarbību ieroču aprites jomā  - kamēr nav pagājis gads pēc soda izpildes vai tiesību anulēšanas.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piemēram, ja persona tiks saukta pie administratīvās atbildības par Ieroču aprites likumā paredzētajiem administratīvajiem pārkāpumiem ieroču, munīcijas, to sastāvdaļu un speciālo līdzekļu aprites jomā, nepiemērojot ieroču un munīcijas, to sastāvdaļu un speciālo līdzekļu  iegādāšanās, glabāšanas, nēsāšanas, pārvadāšanas, pārsūtīšanas tiesību vai tiesību nodarboties ar komercdarbību ieroču aprites jomā ierobežošanu, attiecīgā atļauja (licence) tiks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likumprojektā ietvertais regulējums ir plašāks un nav saistāms tikai ar likumprojekta sākotnējās ietekmes novērtējuma ziņojumā (anotācijā) norādīto nepieciešamību "</w:t>
            </w:r>
            <w:r w:rsidR="00000000" w:rsidRPr="00000000" w:rsidDel="00000000">
              <w:rPr>
                <w:i w:val="1"/>
                <w:rtl w:val="0"/>
              </w:rPr>
              <w:t xml:space="preserve">sadalīt likuma 5. panta ceturtās daļas 5. punkta regulējumu atbilstoši pārkāpumu veidiem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papildināt likumprojekta sākotnējās ietekmes novērtējuma ziņojumu (anotāciju) ar attiecīgu skaidrojumu par Stratēģiskas nozīmes preču aprites likumā ietverto prasību pārskatīšanu, pamatojot nepieciešamību mīkstināt tajā ietvertos ierobežojumus attiecībā uz personām, kuras administratīvi sodītas par ieroču un munīcijas, to sastāvdaļu un speciālo līdzekļu iegādāšanās, glabāšanas, nēsāšanas, pārvadāšanas, pārsūtīšanas un realizēšanas noteikumu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"3) komersants pēdējo trīs gadu laikā ar kompetentas institūcijas lēmumu, tiesas spriedumu vai prokurora priekšrakstu par sodu, kas stājies spēkā un kļuvis neapstrīdams un nepārsūdzams, ir atzīts par vainīgu un sodīts par pārkāpumu, kurš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darba atļaujas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Imigrācijas likuma 9. pantu ārzemniekam tiek piešķirtas tiesības uz nodarbinātību, bet ne darba atļauja. Tāpat saskaņā ar Imigrācijas likuma 68.</w:t>
            </w:r>
            <w:r w:rsidR="00000000" w:rsidRPr="00000000" w:rsidDel="00000000">
              <w:rPr>
                <w:vertAlign w:val="superscript"/>
                <w:rtl w:val="0"/>
              </w:rPr>
              <w:t xml:space="preserve">5 </w:t>
            </w:r>
            <w:r w:rsidR="00000000" w:rsidRPr="00000000" w:rsidDel="00000000">
              <w:rPr>
                <w:rtl w:val="0"/>
              </w:rPr>
              <w:t xml:space="preserve">pantu administratīvā atbildība ir paredzēta par personu nodarbināšanu, ja tām nav piešķirtas tiesības uz nodarbinātību un to nepieciešamību nosaka Imigrācijas likums. Ievērojot minēto, precizēt likumprojektā lietoto terminu "darba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4</w:t>
            </w:r>
            <w:r w:rsidR="00000000" w:rsidRPr="00000000" w:rsidDel="00000000">
              <w:rPr>
                <w:rtl w:val="0"/>
              </w:rPr>
              <w:t xml:space="preserve">) lēmumu par speciālās atļaujas (licences) izsniegšanu vai atteikumu to izsniegt Aizsardzības ministrija pieņem mēneša laikā pēc visu nepieciešamo dokumentu un atzinumu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nepieciešamību papildināt Stratēģiskas nozīmes preču aprites likuma 5. pantu ar (6</w:t>
            </w:r>
            <w:r w:rsidR="00000000" w:rsidRPr="00000000" w:rsidDel="00000000">
              <w:rPr>
                <w:vertAlign w:val="superscript"/>
                <w:rtl w:val="0"/>
              </w:rPr>
              <w:t xml:space="preserve">4</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sadaļā  "Risinājuma apraksts" norādīts: "Likumprojekts paredz papildināt likuma 5. pantu ar </w:t>
            </w:r>
            <w:r w:rsidR="00000000" w:rsidRPr="00000000" w:rsidDel="00000000">
              <w:rPr>
                <w:u w:val="single"/>
                <w:rtl w:val="0"/>
              </w:rPr>
              <w:t xml:space="preserve">4.</w:t>
            </w:r>
            <w:r w:rsidR="00000000" w:rsidRPr="00000000" w:rsidDel="00000000">
              <w:rPr>
                <w:u w:val="single"/>
                <w:vertAlign w:val="superscript"/>
                <w:rtl w:val="0"/>
              </w:rPr>
              <w:t xml:space="preserve">2</w:t>
            </w:r>
            <w:r w:rsidR="00000000" w:rsidRPr="00000000" w:rsidDel="00000000">
              <w:rPr>
                <w:u w:val="single"/>
                <w:rtl w:val="0"/>
              </w:rPr>
              <w:t xml:space="preserve"> </w:t>
            </w:r>
            <w:r w:rsidR="00000000" w:rsidRPr="00000000" w:rsidDel="00000000">
              <w:rPr>
                <w:rtl w:val="0"/>
              </w:rPr>
              <w:t xml:space="preserve">un 4.</w:t>
            </w:r>
            <w:r w:rsidR="00000000" w:rsidRPr="00000000" w:rsidDel="00000000">
              <w:rPr>
                <w:vertAlign w:val="superscript"/>
                <w:rtl w:val="0"/>
              </w:rPr>
              <w:t xml:space="preserve">3</w:t>
            </w:r>
            <w:r w:rsidR="00000000" w:rsidRPr="00000000" w:rsidDel="00000000">
              <w:rPr>
                <w:rtl w:val="0"/>
              </w:rPr>
              <w:t xml:space="preserve"> daļu, nosakot, ka šā panta ceturtās daļas 7., </w:t>
            </w:r>
            <w:r w:rsidR="00000000" w:rsidRPr="00000000" w:rsidDel="00000000">
              <w:rPr>
                <w:u w:val="single"/>
                <w:rtl w:val="0"/>
              </w:rPr>
              <w:t xml:space="preserve">7</w:t>
            </w:r>
            <w:r w:rsidR="00000000" w:rsidRPr="00000000" w:rsidDel="00000000">
              <w:rPr>
                <w:u w:val="single"/>
                <w:vertAlign w:val="superscript"/>
                <w:rtl w:val="0"/>
              </w:rPr>
              <w:t xml:space="preserve">1</w:t>
            </w:r>
            <w:r w:rsidR="00000000" w:rsidRPr="00000000" w:rsidDel="00000000">
              <w:rPr>
                <w:rtl w:val="0"/>
              </w:rPr>
              <w:t xml:space="preserve"> un 12. punktā noteiktās prasības nav attiecināmas uz komersantiem, kuri plāno saņemt vai ir saņēmuši Aizsardzības ministrijas izsniegto speciālo atļauju (licenci) komercdarbībai ar Eiropas Savienības Kopējā militāro preču saraksta sadaļās ML5 - ML7 un ML9 - ML22 minētajām precēm, un to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divi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ir tiesības pieprasīt informāciju par Latvijas Republikā reģistrētu individuālo komersantu vai komercsabiedrību dalībniekiem, kuru pamatkapitāla daļu skaits ir mazāks par 10 procentiem, un akcionārus, kuru līdzdalība sabiedrības pamatkapitālā ir mazāka par 10 procentiem no sabiedrības pamatkapitāla, lai novērstu valsts nacionālās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trīs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ceturtās daļas </w:t>
            </w:r>
            <w:r w:rsidR="00000000" w:rsidRPr="00000000" w:rsidDel="00000000">
              <w:rPr>
                <w:u w:val="single"/>
                <w:rtl w:val="0"/>
              </w:rPr>
              <w:t xml:space="preserve">7. un 12. punktā</w:t>
            </w:r>
            <w:r w:rsidR="00000000" w:rsidRPr="00000000" w:rsidDel="00000000">
              <w:rPr>
                <w:rtl w:val="0"/>
              </w:rPr>
              <w:t xml:space="preserve"> noteiktās prasībās nav attiecināmas uz tiem komersantiem, kas plāno saņemt vai ir saņēmuši Aizsardzības ministrijas izsniegto speciālo atļauju (licenci) komercdarbībai ar Eiropas Savienības Kopējā militāro preču saraksta sadaļās  ML5 – ML7, ML9 – ML22 minētajām precēm, un to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minētais neatbilst likumprojektā norādītajam, lūdzam precizēt anotāciju attiecībā par atsauci uz 4.</w:t>
            </w:r>
            <w:r w:rsidR="00000000" w:rsidRPr="00000000" w:rsidDel="00000000">
              <w:rPr>
                <w:vertAlign w:val="superscript"/>
                <w:rtl w:val="0"/>
              </w:rPr>
              <w:t xml:space="preserve">2</w:t>
            </w:r>
            <w:r w:rsidR="00000000" w:rsidRPr="00000000" w:rsidDel="00000000">
              <w:rPr>
                <w:rtl w:val="0"/>
              </w:rPr>
              <w:t xml:space="preserve"> daļu un 7.</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sadaļā "Risinājuma apraksts" minēts: "Likumprojekta 2. pantā paredzēts papildināt likuma 5. pantu ar</w:t>
            </w:r>
            <w:r w:rsidR="00000000" w:rsidRPr="00000000" w:rsidDel="00000000">
              <w:rPr>
                <w:u w:val="single"/>
                <w:rtl w:val="0"/>
              </w:rPr>
              <w:t xml:space="preserve"> 6.</w:t>
            </w:r>
            <w:r w:rsidR="00000000" w:rsidRPr="00000000" w:rsidDel="00000000">
              <w:rPr>
                <w:u w:val="single"/>
                <w:vertAlign w:val="superscript"/>
                <w:rtl w:val="0"/>
              </w:rPr>
              <w:t xml:space="preserve">1</w:t>
            </w:r>
            <w:r w:rsidR="00000000" w:rsidRPr="00000000" w:rsidDel="00000000">
              <w:rPr>
                <w:u w:val="single"/>
                <w:rtl w:val="0"/>
              </w:rPr>
              <w:t xml:space="preserve"> daļu </w:t>
            </w:r>
            <w:r w:rsidR="00000000" w:rsidRPr="00000000" w:rsidDel="00000000">
              <w:rPr>
                <w:rtl w:val="0"/>
              </w:rPr>
              <w:t xml:space="preserve">šādā redakcijā, </w:t>
            </w:r>
            <w:r w:rsidR="00000000" w:rsidRPr="00000000" w:rsidDel="00000000">
              <w:rPr>
                <w:u w:val="single"/>
                <w:rtl w:val="0"/>
              </w:rPr>
              <w:t xml:space="preserve">nosakot, ka</w:t>
            </w:r>
            <w:r w:rsidR="00000000" w:rsidRPr="00000000" w:rsidDel="00000000">
              <w:rPr>
                <w:rtl w:val="0"/>
              </w:rPr>
              <w:t xml:space="preserve"> šā panta sestās daļas 3. un 9. punktā noteiktās prasībās nav attiecināmas uz komersantiem, kuri plāno saņemt vai ir saņēmuši Aizsardzības ministrijas izsniegto speciālo atļauju (licenci) komercdarbībai ar Eiropas Savienības Kopējā militāro preču saraksta sadaļās  ML5 - ML7 un ML9 - ML22 minētajām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papildināt likuma 5. pantu ar </w:t>
            </w:r>
            <w:r w:rsidR="00000000" w:rsidRPr="00000000" w:rsidDel="00000000">
              <w:rPr>
                <w:u w:val="single"/>
                <w:rtl w:val="0"/>
              </w:rPr>
              <w:t xml:space="preserve">6.</w:t>
            </w:r>
            <w:r w:rsidR="00000000" w:rsidRPr="00000000" w:rsidDel="00000000">
              <w:rPr>
                <w:u w:val="single"/>
                <w:vertAlign w:val="superscript"/>
                <w:rtl w:val="0"/>
              </w:rPr>
              <w:t xml:space="preserve">1</w:t>
            </w:r>
            <w:r w:rsidR="00000000" w:rsidRPr="00000000" w:rsidDel="00000000">
              <w:rPr>
                <w:u w:val="single"/>
                <w:rtl w:val="0"/>
              </w:rPr>
              <w:t xml:space="preserve"> daļu šādā redakcijā</w:t>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Aizsardzības ministrija speciālo atļauju (licenci) izsniedz 8 mēnešu laikā no iesnieguma saņemšanas dienas. Ja objektīvu iemeslu dēļ minēto termiņu nav iespējams ievērot, Aizsardzības ministrija pārbaudes termiņu var pagarināt."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sadaļā "Risinājuma apraksts" norādītā atsauce uz 6.</w:t>
            </w:r>
            <w:r w:rsidR="00000000" w:rsidRPr="00000000" w:rsidDel="00000000">
              <w:rPr>
                <w:vertAlign w:val="superscript"/>
                <w:rtl w:val="0"/>
              </w:rPr>
              <w:t xml:space="preserve">1</w:t>
            </w:r>
            <w:r w:rsidR="00000000" w:rsidRPr="00000000" w:rsidDel="00000000">
              <w:rPr>
                <w:rtl w:val="0"/>
              </w:rPr>
              <w:t xml:space="preserve"> daļu neatbilst likumprojektā 6.</w:t>
            </w:r>
            <w:r w:rsidR="00000000" w:rsidRPr="00000000" w:rsidDel="00000000">
              <w:rPr>
                <w:vertAlign w:val="superscript"/>
                <w:rtl w:val="0"/>
              </w:rPr>
              <w:t xml:space="preserve">1</w:t>
            </w:r>
            <w:r w:rsidR="00000000" w:rsidRPr="00000000" w:rsidDel="00000000">
              <w:rPr>
                <w:rtl w:val="0"/>
              </w:rPr>
              <w:t xml:space="preserve"> daļā paredzētajam, lūdzam precizēt attiecīgo risinājuma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"(4) Aizsardzības ministrijas izsniegto speciālo atļauju (licenci) komercdarbībai ar Eiropas Savienības Kopējā militāro preču sarakstā minētajām precēm ir tiesīgi saņemt Latvijas Republikā reģistrēti individuālie komersanti vai komercsabiedrības, ja to dalībnieki (fiziskās personas), izņemot dalībniekus, kuru pamatkapitāla daļu skaits ir mazāks par 10 procentiem, un akcionārus, kuru līdzdalība sabiedrības pamatkapitālā ir mazāka par 10 procentiem no sabiedrības pamatkapitāla, patiesie labuma guvēji, prokūristi, personas, kas ieņem amatus pārvaldes institūcijās vai piekļūst ar komercsabiedrības pārvaldi saistītai informācijai, kā arī darbinieki, kas tieši saistīti ar Eiropas Savienības Kopējā militāro preču sarakstā minēto preču ražošanu, remontu, realizēšanu, glabāšanu, transportēšanu, ar tiem saistīto pakalpojumu sniegšanu vai apsardzi,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ievērojot to, ka ar likumprojektu paredzēts izteikt jaunā redakcijā Stratēģiskas nozīmes preču aprites likuma 5. panta ceturtās daļas ievaddaļu, bet ne visu 5.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IX1, X nodaļā minētajiem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Krimināllikuma 1. panta pirmo daļu pie kriminālatbildības saucama un sodāma tikai tāda persona, kura ir vainīga noziedzīga nodarījuma izdarīšanā, tas ir, kura ar nodomu (tīši) vai aiz neuzmanības izdarījusi šajā likumā paredzētu nodarījumu, kam ir visas noziedzīga nodarījuma sastāva pazīmes. Ievērojot minēto, aizstāt likumprojekta 2. pantā piedāvātajā Stratēģiskas nozīmes preču aprites likuma 5. panta ceturtās daļas 7.</w:t>
            </w:r>
            <w:r w:rsidR="00000000" w:rsidRPr="00000000" w:rsidDel="00000000">
              <w:rPr>
                <w:vertAlign w:val="superscript"/>
                <w:rtl w:val="0"/>
              </w:rPr>
              <w:t xml:space="preserve">1</w:t>
            </w:r>
            <w:r w:rsidR="00000000" w:rsidRPr="00000000" w:rsidDel="00000000">
              <w:rPr>
                <w:rtl w:val="0"/>
              </w:rPr>
              <w:t xml:space="preserve"> punktā vārdu "pantiem" ar vārdiem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to, ka minētie noziedzīgie nodarījumi jau šobrīd ir paredzēti Stratēģiskas nozīmes preču aprites likuma 5. panta ceturtās daļas 7. punktā, sniegt likumprojekta sākotnējās ietekmes novērtējuma ziņojumā (anotācijā) papildu informāciju par nepieciešamību norādi par attiecīgo noziedzīgo nodarījumu izdarīšanu iekļaut atsevišķā Stratēģiskas nozīmes preču aprites likuma 5. panta ceturtās daļas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IX1, X nodaļā minētajiem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panta redakcijā minēto Krimināllikuma nodaļu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"12) pamatkapitāls ir mazāks par 2800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"eiro" ar vārdu "</w:t>
            </w:r>
            <w:r w:rsidR="00000000" w:rsidRPr="00000000" w:rsidDel="00000000">
              <w:rPr>
                <w:i w:val="1"/>
                <w:rtl w:val="0"/>
              </w:rPr>
              <w:t xml:space="preserve">euro</w:t>
            </w:r>
            <w:r w:rsidR="00000000" w:rsidRPr="00000000" w:rsidDel="00000000">
              <w:rPr>
                <w:rtl w:val="0"/>
              </w:rPr>
              <w:t xml:space="preserve">" slīprakstā, kā to noteicis Valsts valodas centrs attiecībā uz Eiropas vienotās valūtas nosaukuma </w:t>
            </w:r>
            <w:r w:rsidR="00000000" w:rsidRPr="00000000" w:rsidDel="00000000">
              <w:rPr>
                <w:i w:val="1"/>
                <w:rtl w:val="0"/>
              </w:rPr>
              <w:t xml:space="preserve">euro </w:t>
            </w:r>
            <w:r w:rsidR="00000000" w:rsidRPr="00000000" w:rsidDel="00000000">
              <w:rPr>
                <w:rtl w:val="0"/>
              </w:rPr>
              <w:t xml:space="preserve">lietojumu tiesību aktu projektu nosaukumos un to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26-TA-966</w:t>
    </w:r>
    <w:r>
      <w:br/>
    </w:r>
    <w:r w:rsidR="00000000" w:rsidRPr="00000000" w:rsidDel="00000000">
      <w:rPr>
        <w:rtl w:val="0"/>
      </w:rPr>
      <w:t xml:space="preserve">Izdrukāts 12.05.2026.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26-TA-966</w:t>
    </w:r>
    <w:r>
      <w:br/>
    </w:r>
    <w:r w:rsidR="00000000" w:rsidRPr="00000000" w:rsidDel="00000000">
      <w:rPr>
        <w:rtl w:val="0"/>
      </w:rPr>
      <w:t xml:space="preserve">Izdrukāts 12.05.2026.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Atzinumi_26-TA-966.docx</dc:title>
</cp:coreProperties>
</file>

<file path=docProps/custom.xml><?xml version="1.0" encoding="utf-8"?>
<Properties xmlns="http://schemas.openxmlformats.org/officeDocument/2006/custom-properties" xmlns:vt="http://schemas.openxmlformats.org/officeDocument/2006/docPropsVTypes"/>
</file>