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un sadarbības partneris konkursa ietvaros nevar pretendēt uz finansējuma saņemšanu,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12.6., 12.7. un 12.8.apakšpunktā ir ietverti projekta iesniedzēja un sadarbības partnera izslēgšanas nosacījumi, kas saistīti ar sadarbības partnera vai projekta iesniedzēja vai personas, kura ir komersanta valdes vai padomes loceklis vai prokūrists, vai persona, kura ir pilnvarota pārstāvēt komersantu, iepriekšēju sodāmību par noziedzīgiem nodarījumiem vai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13.punktā ir norādīts, ka par šo noteikumu 12.6., 12.7. un 12.8.apakšpunktā minētajiem faktiem Vides investīciju fonds informāciju iegūst no Iekšlietu ministrijas Informācijas centra pārziņā esošās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Vides investīciju fonds pārbaudītu, vai projekta iesniedzējs vai sadarbības partneris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kā arī lai Iekšlietu ministrijas Informācijas centrs ievērotu datu apstrādes minimizēšanas principu, sniedzot Vides investīciju fondam ziņas par administratīvajiem pārkāpumiem vai noziedzīgiem nodarījumiem, precizēt projektu vai projekta anotāciju, papildus norādot attiecīgo nozari regulējošo likumu un Krimināllikuma pantus, par kuros paredzētajiem administratīvajiem pārkāpumiem un noziedzīgajiem nodarījumiem projekta iesniedzējs vai sadarbības partneris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Iekšlietu ministrijas Informācijas centra pārziņā esošajā valsts informācijas sistēmā “Sodu reģistrs” nav pieejama informācija attiecībā uz šādu projekta 12.8.2.apakšpunktā paredzēto izslēgšanas nosacījumu – projekta iesniedzējs vai sadarbības partneris ar tādu kompetentas institūcijas lēmumu vai tiesas spriedumu, kas stājies spēkā un kļuvis neapstrīdams un nepārsūdzams, ir atzīts par vainīgu pārkāpumā, kas izpaužas kā 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nosacījums ir identisks nosacījumam, kāds ir ietverts Publisko iepirkumu likuma 42.panta otrās daļas sestajā punktā. Līdz ar to ir pamats uzskatīt, ka arī projekta 12.8.2.apakšpunktā ietvertais nosacījums tiek interpretēts un piemērots tāpat kā attiecīgais regulējums publisko iepirkumu jomā, proti, saskaņā ar Publisko iepirkumu likuma regulējumu izslēgšanas iemesls piemērojams tikai tajā gadījumā, ja nolēmumā, ar kuru piegādātājs sodīts par personas nodarbināšanu bez rakstveidā noslēgta darba līguma (Darba likuma 158.pants) un nolēmumā, ar kuru piegādātājs sodīts par termiņā neiesniegtu informatīvo deklarāciju (Likuma “Par nodokļiem un nodevām” 142.panta otrā daļa), ietvertie pārkāpumi ir konstatēti saistībā ar vienu un to pašu nodarbināto personu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Sodu reģistra likuma 12.pantā ir noteiktas ziņas, kas tiek iekļautas Sodu reģistrā par administratīvo pārkāpumu izdarījušo personu. Norādām, ka Sodu reģistrā nav pieejama informācija, vai persona sodīta attiecībā uz vieniem un tiem pašiem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tikai tehniski nodrošina datu atlasi no Sodu reģistrā pieejamās informācijas, kas var būt par pamatu, lai tālāk jau finansējuma saņēmējs lemtu ir vai nav iestājušies projektā noteiktie izslēgšanas nosacījumi. Līdz ar to Iekšlietu ministrijas Informācijas centrs var sniegt tikai tā rīcībā esošu informāciju, proti, informāciju par to, vai persona ir sodīta par attiecīgajiem pārkāpumiem attiecīgajā periodā. Savukārt Vides investīciju fonds, saņemot šādu informāciju, veic tālāko izvērtējumu par atbilstību projektam, proti, vai pārkāpumi ir konstatēti saistībā ar vienu un to pašu nodarbināto personu, nepieciešamības gadījumā pieprasot attiecīgi informāciju no iestādēm (šajā gadījumā no Valsts darba inspekcijas un Valsts ieņēmumu dienesta), kas veikušas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https://tapportals.mk.gov.lv/annotation/fa46f2a5-613b-45c2-be0f-584325240f51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 </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w:t>
            </w:r>
            <w:r w:rsidR="00000000" w:rsidRPr="00000000" w:rsidDel="00000000">
              <w:rPr>
                <w:rtl w:val="0"/>
              </w:rPr>
              <w:t xml:space="preserve"> panta nosaukumā norādīto, aizstāt projekta 12.6.1.apakšpunktā vārdus “prettiesiska labuma” ar vārdiem “prettiesiska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12.6.1. 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projekta12.6.1.apakšpunktā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12.6.4. noziedzīgi iegūtu līdzekļu legalizācija vai proliferācijas finansēšana, terorisms, terorisma finansēšana,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aizstāt projekta 12.6.4.apakšpunktā vārdus “un apmācība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