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precizēt anotācijā ietverto skaidrojumu, īpaši uzsverot, ka informācijas pieprasījums no komersantiem primāri attiecināms uz drošības rezervēm. Proti, ja Ministru kabineta lēmums attiecas uz drošības rezervju pārdošanu vai izmantošanu, loģiski izriet, ka arī pieprasāmā informācija būtu ierobežojama ar datiem par šo rezervju apmēru. Pašreizējais regulējuma formulējums rada interpretācijas risku, ka Possessor ir tiesīgs pieprasīt informāciju par visu komersantu rīcībā esošo naftas produktu apjomu, tostarp arī par to daļu, kas nav drošības rezerves un par kuru Ministru kabinets nav pieņēmis lēmumu. Šāda pieeja var tikt uzskatīta par nesamērīgu attiecībā pret Ministru kabineta lēmuma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31.03.2026. 07.53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31.03.2026. 07.53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