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sākotnējās ietekmes novērtējuma ziņojuma (anotācijas) 1.sadaļas 1.2.punktā norādīto informāciju attiecībā uz projektā ietverto tiesību normu par datu apmaiņu ar Fizisko personu reģistru spēkā stāšanos. Vēršam uzmanību, ka atbilstoši Noteikumu projekta 55.punkta pirmā teikuma regulējumam projekta 34. punkta, kas nosaka datu ieguvi no Fizisko peronu reģistra, spēkā stāšanās ir paredzēta 2026. gada 1. janvārī, bet ne 2025. gada 1.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15.04.2024.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15.04.2024.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