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projekta dalībnieku un to biedru sarakstu, norādot nosaukumu, reģistrācijas numuru, ja tas tiek izmantots šo noteikumu </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terminoloģijā nomainot “projekta dalībnieku” uz “finansējuma saņēmēja dalībnieku”, jo uz projekta iesniegšanas bīdi projekta dalībnieki vēl nav zināmi.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finansējuma saņēmēja dalībnieku un to biedru sarakstu, norādot nosaukumu, reģistrācijas numuru, ja tas tiek izmantots šo noteikumu 32.2. un 32.3. apakšpunktā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Līdz ar pētniecības projektu sadarbības partneris finansējuma saņēmējam iesniedz Eiropas digitālās inovācijas centra sagatavotu sākotnējo digitālā brieduma testu un digitālo attīstības ceļa karti, kas apliecina pētniecības projekta vajadzību.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noteikto kārtību un paredzēt, ka sākotnējais digitālā brieduma tests un digitālā attīstības ceļa karte nav nepieciešami. Priekšlikums: svītrot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Projekta īstenošanas laikā finansējuma saņēmējs saņem avansa un noslēguma maksājumu. Pēc līguma par projekta īstenošanu noslēgšanas starp finansējuma saņēmēju un Aģentūru, finansējuma saņēmējs pieprasa Aģentūrai pirmo avansa maksājumu, kas nepārsniedz 40 procentus no kopējā projekta publiskā finansējuma apmēra. Ja finansējuma saņēmējs nav ieguldījis pirmo avansa maksājumu vismaz 80 procentu apmērā un ir sasniegts projekta ietvaros kopējais plānotais rādītājs, tad finansējuma saņēmējs īsteno projektu līdz pirmais avansa maksājums ieguldīts vismaz 80 procentu apmērā. Ja nav sasniegts kopējais projekta ietvaros plānotais rādītājs, tad finansējuma saņēmējs atmaksā Aģentūrai projekta ietvaros piešķirto pirmo avansa maksājumu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Otro avansa maksājumu finansējuma saņēmējs saņem ne vairāk kā 50 procentu apmērā pēc tam, kad pirmais avansa maksājums ieguldīts vismaz 80 procentu apmērā un ir sasniegts projekta ietvaros kopējais plānotais rādītājs. Ja finansējuma saņēmējs nav ieguldījis pirmo avansa maksājumu 100 procentu apmērā un otro avansa maksājumu vismaz 80 procentu apmērā, tad finansējuma saņēmējs īsteno projektu līdz otrais avansa maksājums ieguldīts vismaz 80 procentu apmērā, nodrošinot kopējā rādītāja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Kopējā avansa maksājumu kopsumma nedrīkst pārsniegt 90 procentus no kopējā projektam piešķirtā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Finansējuma saņēmējs noslēguma maksājumu saņem, ja pirmais avansa maksājums tiek ieguldīts 100 procentu apmērā un otrais avansa maksājums ieguldīts 80 procentu apmērā, nodrošinot kopējā rādītāja sasniegšanu. Aģentūra noslēguma maksājumu izmaksā līdz 2026. gada 31. augustam. Pēc avansu un noslēguma maksājuma saņemšanas finansējuma saņēmējs iesniedz progresa pārskatus, kas skaidro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Lai sasniegtu kopējo projekta ietvaros plānoto rādītāju un pilnībā ieguldītu avansa maksājumu, finansējuma saņēmējs var organizēt vairākas atklātas pētniecības projektu iesniegumu atlases.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Finansējuma saņēmējs no projekta ietvaros saņemtā finansējuma nevar gūt peļņas procentus. Gadījumā, ja rodas pelņas procenti, finansējuma saņēmējs tos atmaksā Aģentūrai un nozares ministrija lemj par finansējuma pārvirzīšanu atbilstoši šo noteikumu </w:t>
            </w:r>
            <w:r w:rsidR="00000000" w:rsidRPr="00000000" w:rsidDel="00000000">
              <w:rPr>
                <w:rtl w:val="0"/>
              </w:rPr>
              <w:t xml:space="preserve">107. </w:t>
            </w:r>
            <w:r w:rsidR="00000000" w:rsidRPr="00000000" w:rsidDel="00000000">
              <w:rPr>
                <w:rtl w:val="0"/>
              </w:rPr>
              <w:t xml:space="preserve">punktā</w:t>
            </w:r>
            <w:r w:rsidR="00000000" w:rsidRPr="00000000" w:rsidDel="00000000">
              <w:rPr>
                <w:rtl w:val="0"/>
              </w:rPr>
              <w:t xml:space="preserve"> minētajam.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15.12.2023. 09.23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15.12.2023. 09.23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Atzinumi_22-TA-3597.docx</dc:title>
</cp:coreProperties>
</file>

<file path=docProps/custom.xml><?xml version="1.0" encoding="utf-8"?>
<Properties xmlns="http://schemas.openxmlformats.org/officeDocument/2006/custom-properties" xmlns:vt="http://schemas.openxmlformats.org/officeDocument/2006/docPropsVTypes"/>
</file>