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29. oktobra noteikumos Nr. 1191 "Kārtība, kādā publiska persona nomā nekustamo īpašumu no privātpersonas vai kapitālsabiedrības un publicē informāciju par nomātajiem un nomāt paredzētajiem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13.08.2025.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13.08.2025.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Atzinumi_25-TA-1065.docx</dc:title>
</cp:coreProperties>
</file>

<file path=docProps/custom.xml><?xml version="1.0" encoding="utf-8"?>
<Properties xmlns="http://schemas.openxmlformats.org/officeDocument/2006/custom-properties" xmlns:vt="http://schemas.openxmlformats.org/officeDocument/2006/docPropsVTypes"/>
</file>