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izdevumu par cietušajam bērnam sniegto sociālās rehabilitācijas pakalpojumu atmaksas kārtību un apmēru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anotācijas 3.sadaļas 6.punktā norādīto Labklājības ministrijai plānoto finansējumu regresa piedziņas procesa organizēšanai 2024.gadam, jo atbilstoši anotācijas pielikumā norādītajam aprēķinam, tas ir 58 842</w:t>
            </w:r>
            <w:r w:rsidR="00000000" w:rsidRPr="00000000" w:rsidDel="00000000">
              <w:rPr>
                <w:i w:val="1"/>
                <w:rtl w:val="0"/>
              </w:rPr>
              <w:t xml:space="preserve"> euro</w:t>
            </w:r>
            <w:r w:rsidR="00000000" w:rsidRPr="00000000" w:rsidDel="00000000">
              <w:rPr>
                <w:rtl w:val="0"/>
              </w:rPr>
              <w:t xml:space="preserve"> nevis 58 742</w:t>
            </w:r>
            <w:r w:rsidR="00000000" w:rsidRPr="00000000" w:rsidDel="00000000">
              <w:rPr>
                <w:i w:val="1"/>
                <w:rtl w:val="0"/>
              </w:rPr>
              <w:t xml:space="preserve"> euro</w:t>
            </w:r>
            <w:r w:rsidR="00000000" w:rsidRPr="00000000" w:rsidDel="00000000">
              <w:rPr>
                <w:rtl w:val="0"/>
              </w:rPr>
              <w:t xml:space="preserve">. Vienlaikus precizējams arī nodibinājumam “Latvijas Bērnu fonds” plānotais finansējums 2024.gadam, jo atbilstoši anotācijas pielikuma 2.tabulā norādītajam aprēķinam, tas veidojas 39 228 </w:t>
            </w:r>
            <w:r w:rsidR="00000000" w:rsidRPr="00000000" w:rsidDel="00000000">
              <w:rPr>
                <w:i w:val="1"/>
                <w:rtl w:val="0"/>
              </w:rPr>
              <w:t xml:space="preserve">euro</w:t>
            </w:r>
            <w:r w:rsidR="00000000" w:rsidRPr="00000000" w:rsidDel="00000000">
              <w:rPr>
                <w:rtl w:val="0"/>
              </w:rPr>
              <w:t xml:space="preserve"> nevis 39 226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3.sadaļas punktā “Cita informācija” norādītajai informācijai </w:t>
            </w:r>
            <w:r w:rsidR="00000000" w:rsidRPr="00000000" w:rsidDel="00000000">
              <w:rPr>
                <w:u w:val="single"/>
                <w:rtl w:val="0"/>
              </w:rPr>
              <w:t xml:space="preserve">valsts budžeta līdzekļi tiks izmantoti</w:t>
            </w:r>
            <w:r w:rsidR="00000000" w:rsidRPr="00000000" w:rsidDel="00000000">
              <w:rPr>
                <w:rtl w:val="0"/>
              </w:rPr>
              <w:t xml:space="preserve">, lai nodrošinātu noteikumu projekta 7. un 8.punktā minētās informācijas izgūšanu, izmantojot informācijas sasaistes līdzekļus. Ņemot vērā, ka nav saprotams, kāda valsts budžeta finansējuma ietvaros minētais tiks nodrošināts, attiecīgi papildināma anotācijas 3.sadaļa.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attiecībā par sociālās rehabilitācijas pakalpojuma institūcijā atkarīgiem bērniem pilnveidošanu norādīts, ka Labklājības ministrijai sadarbībā ar Veselības ministriju ir nepieciešams ne tikai izstrādāt pilnveidotu pakalpojumu institūcijā atkarīgiem bērniem saturu, bet arī nepieciešams atrast pakalpojuma sniedzēju, kurš būtu gatavs uzņemties šī pakalpojuma sniegšanu, un tikai tad ministrija pakalpojuma nodrošināšanai nepieciešamo finansējumu virzīs izskatīšanai Ministru kabinetā likumprojekta par valsts budžetu kārtējam gadam un vidēja termiņa budžeta ietvaru sagatavošanas un izskatīšanas procesā kopā ar visu ministriju un citu centrālo valsts iestāžu iesniegtajiem priekšlikumiem prioritārajiem pasākumiem atbilstoši valsts budžeta finansiālajām iespējām. Nepieciešams minēto informāciju papildināt, norādot, ka tikai papildu valsts budžeta finansējuma piešķiršanas gadījumā Labklājības ministrija sagatavos attiecīgus grozījumus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kāda finansējuma ietvaros Labklājības ministrija īsteno projektu “Labklājības nozares un pašvaldību sociālās sfēras platformas "DigiSoc" izstrāde un ieviešana”, lai nodrošinātu finansējuma avota izsekojamību.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kanceleja ir tiešās pārvaldes iestāde, kuras funkcijās ietilpst valsts pārvaldes cilvēkresursu attīstības politikas izstrādāšana, organizēšana un koordinēšana, uzskatām, ka attiecībā par anotācijas 3.sadaļas 6.punktā sniegto informāciju par Labklājības ministrijai plānotajām trīs amata vietām noteikumu projektā paredzētā regresa piedziņas procesa organizēšanai ir būtisks Valsts kancelejas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pielikuma 1. un 2.tabulā atvaļinājuma pabalsts plānots 65% no mēnešalgas, savukārt atbilstoši Valsts un pašvaldību institūciju amatpersonu un darbinieku atlīdzības likuma 3.panta ceturtās daļas 8.punktam  valsts vai pašvaldības institūcija tai piešķirto finanšu līdzekļu ietvaros iekšējos normatīvajos aktos, pašvaldības saistošajos noteikumos, darba koplīgumos vai darba līgumos amatpersonām (darbiniekiem) var paredzēt pabalstu līdz 50% no mēnešalgas vienu reizi kalendāra gadā, aizejot ikgadējā apmaksātajā atvaļinājumā. Līdz ar to atkārtoti norādām, ka precizējams anotācijas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23-TA-3079</w:t>
    </w:r>
    <w:r>
      <w:br/>
    </w:r>
    <w:r w:rsidR="00000000" w:rsidRPr="00000000" w:rsidDel="00000000">
      <w:rPr>
        <w:rtl w:val="0"/>
      </w:rPr>
      <w:t xml:space="preserve">Izdrukāts 04.07.2024. 20.05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23-TA-3079</w:t>
    </w:r>
    <w:r>
      <w:br/>
    </w:r>
    <w:r w:rsidR="00000000" w:rsidRPr="00000000" w:rsidDel="00000000">
      <w:rPr>
        <w:rtl w:val="0"/>
      </w:rPr>
      <w:t xml:space="preserve">Izdrukāts 04.07.2024. 20.05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Atzinumi_23-TA-3079.docx</dc:title>
</cp:coreProperties>
</file>

<file path=docProps/custom.xml><?xml version="1.0" encoding="utf-8"?>
<Properties xmlns="http://schemas.openxmlformats.org/officeDocument/2006/custom-properties" xmlns:vt="http://schemas.openxmlformats.org/officeDocument/2006/docPropsVTypes"/>
</file>