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otrās projektu iesniegumu atlases kārtas mērķis ir sniegt atbalstu tām pašvaldībām, kas ir sakārtojušas vispārējās izglītības iestāžu tīklu, un Rīgas valstspilsētas pašvaldībai, lai uzlabotu to vispārējās izglītības iestāžu mācību vidi, nodrošinātu  efektīvu resursu koncentrēšanu un izmantošanu un stiprinātu vispārējās izglītības iestāžu nodrošinājumu ar mūsdienīgas un kvalitatīvas pamata un vidējās izglītības īstenošanai nepieciešamo nodrošinājumu, tādējādi uzlabojot piekļuvi kvalitatīviem pakalpojumiem izglītības 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kā būs izmērāma vispārējās izglītības iestāžu tīkla sakārtotība.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Jautājums no Smiltenes novada pašvaldības: "Sarunās ar IZM tiek norādīts, ka Smiltenei tīkls ir sakārtots un mūsu "sāpju bērns" Blomes pamatskola tiks ielikti saucamajā "izņēmumu līgumā". Lasot šos noteikumus ir skaidrs sekojošais: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11.1. nosacījums atbilstoši 1. pielikuma kritērijiem neatbilst Programmu finansējuma modeļa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nekādu "izņēmuma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pēc šīs programmas Smiltenes novads arī pēc visām pārmaiņām paliek bez šī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07.11.2024.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07.11.2024.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