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Biioreaktora aizvēršana var notikt tālā nākotnē, bet nodoklis par apglabājamo daļu, kas ievietota bioreaktorā jāmaksā katru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20.</w:t>
            </w:r>
            <w:r w:rsidR="00000000" w:rsidRPr="00000000" w:rsidDel="00000000">
              <w:rPr>
                <w:vertAlign w:val="superscript"/>
                <w:rtl w:val="0"/>
              </w:rPr>
              <w:t xml:space="preserve">1</w:t>
            </w:r>
            <w:r w:rsidR="00000000" w:rsidRPr="00000000" w:rsidDel="00000000">
              <w:rPr>
                <w:rtl w:val="0"/>
              </w:rPr>
              <w:t xml:space="preserve">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Nodokli maksā par to atkritumu daudzumu, ko pēc novietošanas bioloģiski noārdāmo atkritumu pārstrādes iekārtā biogāzes ieguvei (bioreaktorā) atļaujā A vai B kategorijas piesārņojošo darbību veikšanai noteiktajā termiņā atšķiro</w:t>
            </w:r>
            <w:r w:rsidR="00000000" w:rsidRPr="00000000" w:rsidDel="00000000">
              <w:rPr>
                <w:b w:val="1"/>
                <w:rtl w:val="0"/>
              </w:rPr>
              <w:t xml:space="preserve">s</w:t>
            </w:r>
            <w:r w:rsidR="00000000" w:rsidRPr="00000000" w:rsidDel="00000000">
              <w:rPr>
                <w:rtl w:val="0"/>
              </w:rPr>
              <w:t xml:space="preserve"> no pārstrādātās vai reģenerētās atkritumu frakcijas un apglabā</w:t>
            </w:r>
            <w:r w:rsidR="00000000" w:rsidRPr="00000000" w:rsidDel="00000000">
              <w:rPr>
                <w:b w:val="1"/>
                <w:rtl w:val="0"/>
              </w:rPr>
              <w:t xml:space="preserve">s</w:t>
            </w:r>
            <w:r w:rsidR="00000000" w:rsidRPr="00000000" w:rsidDel="00000000">
              <w:rPr>
                <w:rtl w:val="0"/>
              </w:rPr>
              <w:t xml:space="preserve"> atkritumu poligonā vai sadedzin</w:t>
            </w:r>
            <w:r w:rsidR="00000000" w:rsidRPr="00000000" w:rsidDel="00000000">
              <w:rPr>
                <w:b w:val="1"/>
                <w:rtl w:val="0"/>
              </w:rPr>
              <w:t xml:space="preserve">ās</w:t>
            </w:r>
            <w:r w:rsidR="00000000" w:rsidRPr="00000000" w:rsidDel="00000000">
              <w:rPr>
                <w:rtl w:val="0"/>
              </w:rPr>
              <w:t xml:space="preserve"> atkritumu sadedzināšanas vai līdzsadedzināšanas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maksātājs nodokli par atkritumiem, kas ievietoti bioreaktorā, aprēķina un maksā, piemērojot tādu nodokļa likmi par atkritumu apglabāšanu vai atkritumu sadedzināšanu, kas </w:t>
            </w:r>
            <w:r w:rsidR="00000000" w:rsidRPr="00000000" w:rsidDel="00000000">
              <w:rPr>
                <w:b w:val="1"/>
                <w:rtl w:val="0"/>
              </w:rPr>
              <w:t xml:space="preserve">ir</w:t>
            </w:r>
            <w:r w:rsidR="00000000" w:rsidRPr="00000000" w:rsidDel="00000000">
              <w:rPr>
                <w:rtl w:val="0"/>
              </w:rPr>
              <w:t xml:space="preserve"> spēkā brīdī, kad atkritumi ievietoti bioreaktorā.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pārdale par labu pašvaldībām varētu veicināt dabas resursu izmantošanas palielinājumu, jo pašvaldības būtu tajā vairāk ieinteresētas.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maksājumus par dabas resursu ieguvi vai izmantošanu vai vides piesārņošanu (izņemot šā panta trešajā, ceturtajā un 4.1 daļā minētos gadījumus) limitos noteiktajos apmēros ieskaita: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60 procentus —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40 procentus — tās vietējās pašvaldības pamatbudžetā, kuras teritorijā tiek veikta attiecīgā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likumprojekta 26.pantā iekļautā likuma 1.pielikuma izteikšanu jaunā redakcijā. Uzskatām, ka likumprojektā paredzētais dabas resursu nodokļa kāpums par tādu dabas resursu ieguvi kā augsni, smilšmālu, mālsmilti, aleirītu, kvarca smilti, smilti un smilti – granti, mālu, citiem mālainiem iežiem būvmateriālu ražošanai ir nesamērīgi augsts. Zemkopības ministrija nesaskata dabas resursu nodokļa kāpuma apmēram objektīvus un pamatotus argumentus, kā arī uzskatām, ka ir nepieciešams veikt šāda lēmuma ieviešanas izvērtējumu uz ekonomiskās situācijas attīstību. Norādām, ka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dabas resursu nodokli. Detalizētu iebilduma informāciju lūdzam skatīt  Akciju sabiedrības "Latvijas valsts meži" vēstulē, kas nosūtīta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1.panta 16.punkts, 16.3. panta pirmās daļas 2. punkta “e” apakšpunkts, 4. panta pirmās daļas 12. punkts, 6.1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stāsies spēkā vienlaikus ar grozījumiem likumā “Par zemes dzīlēm” , kas paredz atteikties no dabas resursu lietošanas atļaujas un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no 2022.gada pārtikas un dzērienu ražotāji saskaras ar nebijušu ražošanas resursu, izejvielu izmaksu un energoresursu cenu kāpumu. Arī saskaņā ar likumprojektu paredzēts DRN likmju izmaiņas par pārstrādājamo plastmasas iepakojumu un kompozīta iepakojuma sastāvā esošo plastmasu, kas pārskata periodā nav pārstrādāts vai reģenerēts, kā rezultātā palielināsies izmaksas pārtikas un dzērienu ražotājiem. Tādēļ aicinām atlikt DRN sloga paaugstināšanu (likumprojektā paredzēts sākot ar 2024.gada 1.jūliju), nosakot samērīgu pārejas periodu un paredzot, ka pirmais maksājums par pārstrādājamo plastmasas iepakojumu un kompozīta iepakojuma sastāvā esošo plastmasu, kas nav pārstrādāta, ir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