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1. 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ja saskaņā ar Valsts izglītības informācijas sistēmas datiem uz 2024. gada 1. septembri vispārējās vidējās izglītības iestādē 10.–12. klašu grupā ir vismaz 60 izglītojamie. Aizputes vidusskolas, Aknīstes vidusskolas, Auces vidusskolas, Dagdas vidusskolas, Dundagas vidusskolas, Engures vidusskolas, Jaunpiebalgas vidusskolas, Kārsavas vidusskolas, Kaunatas vidusskolas, Rojas vidusskolas, Rūjienas vidusskolas, Salacgrīvas vidusskolas, Skaistkalnes vidusskolas vai Vaiņodes vidusskolas gadījumā saskaņā ar Valsts izglītības informācijas sistēmas datiem uz 2024. gada 1. septembri vispārējās vidējās izglītības iestādē 10.–12. klašu grupā ir vismaz 30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punktu 11.</w:t>
            </w:r>
            <w:r w:rsidR="00000000" w:rsidRPr="00000000" w:rsidDel="00000000">
              <w:rPr>
                <w:vertAlign w:val="superscript"/>
                <w:rtl w:val="0"/>
              </w:rPr>
              <w:t xml:space="preserve">2</w:t>
            </w:r>
            <w:r w:rsidR="00000000" w:rsidRPr="00000000" w:rsidDel="00000000">
              <w:rPr>
                <w:rtl w:val="0"/>
              </w:rPr>
              <w:t xml:space="preserve">1. izteikt sekojošā redakcijā: 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ja saskaņā ar Valsts izglītības informācijas sistēmas datiem uz 2024. gada 1. septembri vispārējās vidējās izglītības iestādē 10.–12. klašu grupā ir vismaz 60 izglītojamie. Aizputes vidusskolas, </w:t>
            </w:r>
            <w:r w:rsidR="00000000" w:rsidRPr="00000000" w:rsidDel="00000000">
              <w:rPr>
                <w:b w:val="1"/>
                <w:rtl w:val="0"/>
              </w:rPr>
              <w:t xml:space="preserve">Viesītes</w:t>
            </w:r>
            <w:r w:rsidR="00000000" w:rsidRPr="00000000" w:rsidDel="00000000">
              <w:rPr>
                <w:rtl w:val="0"/>
              </w:rPr>
              <w:t xml:space="preserve"> vidusskolas, Auces vidusskolas, Dagdas vidusskolas, Dundagas vidusskolas, Engures vidusskolas, Jaunpiebalgas vidusskolas, Kārsavas vidusskolas,</w:t>
            </w:r>
            <w:r w:rsidR="00000000" w:rsidRPr="00000000" w:rsidDel="00000000">
              <w:rPr>
                <w:b w:val="1"/>
                <w:rtl w:val="0"/>
              </w:rPr>
              <w:t xml:space="preserve"> Zilupes vidusskolas</w:t>
            </w:r>
            <w:r w:rsidR="00000000" w:rsidRPr="00000000" w:rsidDel="00000000">
              <w:rPr>
                <w:rtl w:val="0"/>
              </w:rPr>
              <w:t xml:space="preserve">,  </w:t>
            </w:r>
            <w:r w:rsidR="00000000" w:rsidRPr="00000000" w:rsidDel="00000000">
              <w:rPr>
                <w:b w:val="1"/>
                <w:rtl w:val="0"/>
              </w:rPr>
              <w:t xml:space="preserve">Viļakas vidusskolas, Rekavas vidusskolas</w:t>
            </w:r>
            <w:r w:rsidR="00000000" w:rsidRPr="00000000" w:rsidDel="00000000">
              <w:rPr>
                <w:b w:val="1"/>
                <w:u w:val="single"/>
                <w:rtl w:val="0"/>
              </w:rPr>
              <w:t xml:space="preserve">, </w:t>
            </w:r>
            <w:r w:rsidR="00000000" w:rsidRPr="00000000" w:rsidDel="00000000">
              <w:rPr>
                <w:b w:val="1"/>
                <w:rtl w:val="0"/>
              </w:rPr>
              <w:t xml:space="preserve">Baltinavas</w:t>
            </w:r>
            <w:r w:rsidR="00000000" w:rsidRPr="00000000" w:rsidDel="00000000">
              <w:rPr>
                <w:b w:val="1"/>
                <w:u w:val="single"/>
                <w:rtl w:val="0"/>
              </w:rPr>
              <w:t xml:space="preserve"> vidusskolas,</w:t>
            </w:r>
            <w:r w:rsidR="00000000" w:rsidRPr="00000000" w:rsidDel="00000000">
              <w:rPr>
                <w:rtl w:val="0"/>
              </w:rPr>
              <w:t xml:space="preserve"> Kaunatas vidusskolas, Rojas vidusskolas, Rūjienas vidusskolas, Salacgrīvas vidusskolas, Skaistkalnes vidusskolas un</w:t>
            </w:r>
            <w:r w:rsidR="00000000" w:rsidRPr="00000000" w:rsidDel="00000000">
              <w:rPr>
                <w:b w:val="1"/>
                <w:rtl w:val="0"/>
              </w:rPr>
              <w:t xml:space="preserve">  Nīcas </w:t>
            </w:r>
            <w:r w:rsidR="00000000" w:rsidRPr="00000000" w:rsidDel="00000000">
              <w:rPr>
                <w:rtl w:val="0"/>
              </w:rPr>
              <w:t xml:space="preserve">vidusskolas gadījumā saskaņā ar Valsts izglītības informācijas sistēmas datiem uz 2024. gada 1. septembri vispārējās vidējās izglītības iestādē 10.–12. klašu grupā ir vismaz 30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Dienvidkurzemes novada pašvaldība respektējot IZM rekomendācijas ir pieņēmusi lēmumu par Priekules vidusskolas reorganizāciju par pamatskolu no 2026.gada 1.septembra. Jau šajā mācību gadā netika atvērta Priekules vidusskolā 10.klase. </w:t>
            </w:r>
            <w:r w:rsidR="00000000" w:rsidRPr="00000000" w:rsidDel="00000000">
              <w:rPr>
                <w:b w:val="1"/>
                <w:rtl w:val="0"/>
              </w:rPr>
              <w:t xml:space="preserve">Vienlaikus sarunās IZM pārstāvji nenoraidīja arī turpmāk pastāvēt Nīcas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Izdodot Ministru kabineta rīkojumu Nr. 598, tam pievienotajā anotācijā norādīts – ir atsauces, ka atbilstoša nav arī Vaiņodes vidusskolas tālākā pastāvēšana, bet šobrīd secināms, ka viedoklis ir grozīts. Šī brīža situācija parāda, ka IZM ir mainījis viedokli attiecībā uz virkni Latvijas vidusskolu, tai skaitā, Vaiņodes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Vaiņodes vidusskolā skolēnu skaits ir 39, savukārt Nīcas vidusskolā skolēnu skaits ir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Nīcas vidusskola atrodas teritorijā, kura apkalpo skolēnus sākot no Lietuvas robežas līdz Liepājai, kas sastāda 60km.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Vairākkārtīgās sarunās starp IZM un LPS, IZM pārstāvji informēja, ka būs arī teritorijās, kurās nevar definēt precīzi kritērijus – īpašie līgumi, bet nevarēja piedāvāt līguma projektus apspriešanai, kā arī normatīvie akti neparedz šādus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normatīvie akti precīzi nav noteikuši, lūdzu, iekļaut noteikumu projektā Nīcas vidusskolu.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Rīcības plāns Latvijas Austrumu pierobežas ekonomiskajai izaugsmei un drošības stiprināšanai 2025.–2027. gadam</w:t>
            </w:r>
            <w:r w:rsidR="00000000" w:rsidRPr="00000000" w:rsidDel="00000000">
              <w:rPr>
                <w:rtl w:val="0"/>
              </w:rPr>
              <w:t xml:space="preserve"> paredz 53.-54.lpp.Tāpat būtiski ir nodrošināt dažādu pakalpojumu, piemēram, izglītības un veselības jomā, pieejamību. Teritorijas apdzīvotība Austrumu pierobežā ir nozīmīgs aspekts arī drošības kontekstā*.Iepriekšminētais tiks veicināts, izglītības jomā stiprinot vispārējās izglītības pieejamību Austrumu pierobežā, t.sk. sniedzot atbalstu skolu saglabāšanai Austrumu pierobežā, piemērojot </w:t>
            </w:r>
            <w:r w:rsidR="00000000" w:rsidRPr="00000000" w:rsidDel="00000000">
              <w:rPr>
                <w:b w:val="1"/>
                <w:rtl w:val="0"/>
              </w:rPr>
              <w:t xml:space="preserve">zemākus kritērijus minimālajam skolēnu skaitam - nodrošinot vismaz 8 pieejamības jeb izņēmuma  skolas*;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11.12.2024. 20.14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11.12.2024. 20.14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Atzinumi_24-TA-2895.docx</dc:title>
</cp:coreProperties>
</file>

<file path=docProps/custom.xml><?xml version="1.0" encoding="utf-8"?>
<Properties xmlns="http://schemas.openxmlformats.org/officeDocument/2006/custom-properties" xmlns:vt="http://schemas.openxmlformats.org/officeDocument/2006/docPropsVTypes"/>
</file>