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sinhronizēt termiņus mērķiem un uzraudzības rādītajiem.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piešķirot  grantus sadarbības partneriem ne vairāk kā 1 000 000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finansējuma saņēmējs jeb kompetences centrs nepiešķir grantus jeb valsts atbalstu – to piešķir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piešķirot  grantus sadarbības partneriem ne vairāk kā 1 000 000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finansējuma saņēmējs jeb kompetences centrs nepiešķir grantus jeb valsts atbalstu – to piešķir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projekta vadītāja iepriekšēja pieredze starptautisku (īstenots sadarbībā ar ārvalstu partneri) projektu vadībā;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finansējuma saņēmēja vadītāju iepriekšēja pieredze starptautisku (īstenots iesaistot ārvalstu partneri) projektu vadībā”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projekta vadītājam pēdējo 10 gadu laikā ir ne mazāk kā piecu gadu pieredze inovācijas projektu īstenošanā saistībā ar komercdarbības atbalsta normu ievērošanu un projektu kopējā izmaksu summa ir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vadītājam pēdējo 10 gadu laikā ir ne mazāk kā piecu gadu pieredze inovācijas projektu īstenošanā saistībā ar komercdarbības atbalsta normu ievērošanu un projektu kopējā izmaksu summa ir vismaz 2 500 000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juridiskie, grāmatvedības, lietvedības, neatkarīga revidenta, iekšējā auditora un tulkošanas pakalpojumi, kas nepieciešami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precizēt 54.2.3.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projekta vadība, juridiskie, grāmatvedības, lietvedības, neatkarīga revidenta, iekšējā auditora un tulkošanas pakalpojumi, kas nepieciešami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kritēriju Nr. 3.3.2. LDDK skaidro, ka projekta vadītājs tiek piesaistīts tikai pēc projekta iesniegšanas un/vai apstiprināšanas CFLA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3.3.2. “Finansējuma saņēmēja vadītāju iepriekšēja pieredze starptautisku (īstenots iesaistot ārvalstu partneri)  projektu vadībā pēdējo 10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kritēriju Nr. 3.3.1. LDDK skaidro, ka projekta vadītājs tiek piesaistīts tikai pēc projekta iesniegšanas un/vai apstiprināšanas CFLA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3.3.1. “Finansējuma saņēmēja vadītāja pieredze projektu vadībā pēdējo 10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kritēriju Nr. 2.2.4.6. LDDK skaidro, ka projekta vadītājs tiek piesaistīts tikai pēc projekta iesniegšanas un/vai apstiprināšanas CFLA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2.2.4.6. “tā vadītājam pēdējo 10 gadu laikā ir ne mazāk kā piecu gadu pieredze inovācijas projektu īstenošanā saistībā ar komercdarbības atbalsta normu ievērošanu un projektu kopējā izmaksu summa ir vismaz 2 500 000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15.11.2023.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15.11.2023.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