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14. lpp. izmantot pareizu Eiropas Savienības Tiesas nosaukumu (proti, Eiropas Savienības Tiesa, nevis Eiropas tiesa).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atbilstošu </w:t>
            </w:r>
            <w:r w:rsidR="00000000" w:rsidRPr="00000000" w:rsidDel="00000000">
              <w:rPr>
                <w:i w:val="1"/>
                <w:rtl w:val="0"/>
              </w:rPr>
              <w:t xml:space="preserve">Natura 2000</w:t>
            </w:r>
            <w:r w:rsidR="00000000" w:rsidRPr="00000000" w:rsidDel="00000000">
              <w:rPr>
                <w:rtl w:val="0"/>
              </w:rPr>
              <w:t xml:space="preserve"> teritoriju apsaimniekošanu, līdz 2024. gada 31. decembrim Viedās administrācijas un reģionālās attīstības ministrijai iesniegt izskatīšanai Ministru kabinetā grozījumus likumā “Par īpaši aizsargājamām dabas teritorijām, paredzot pilnvarojumu Dabas aizsardzības pārvaldei noteikt aizsardzības mērķus katrai </w:t>
            </w:r>
            <w:r w:rsidR="00000000" w:rsidRPr="00000000" w:rsidDel="00000000">
              <w:rPr>
                <w:i w:val="1"/>
                <w:rtl w:val="0"/>
              </w:rPr>
              <w:t xml:space="preserve">Natura 2000</w:t>
            </w:r>
            <w:r w:rsidR="00000000" w:rsidRPr="00000000" w:rsidDel="00000000">
              <w:rPr>
                <w:rtl w:val="0"/>
              </w:rPr>
              <w:t xml:space="preserve">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skaidrot, ar ko atšķiras Ministru kabineta sēdes protokollēmuma projekta 5. punktā minētie Dabas aizsardzības pārvaldes noteiktie aizsardzības mērķi katrai Eiropas nozīmes aizsargājamās dabas teritorijai (Natura 2000) no 4. punktā minētajiem dabas datu pārvaldības sistēmā reģistrētajiem Eiropas nozīmes aizsargājamās dabas teritorijas (Natura 2000) aizsardzības mērķiem, vai arī skaidrot Ministru kabineta sēdes protokollēmuma projektā izmantotos formulējumus. Papildus aicinām izvērtēt, vai patiešām paredzēts likumā "Par īpaši aizsargājamām dabas teritorijām" ietvert pilnvarojumu iestādei izdot iekšēju normatīvu aktu Ministru kabineta 2009. gada 3. februāra noteikumu Nr. 108 "Normatīvo aktu projektu sagatavošanas noteikumi" 2.7. apakšnodaļas izpratnē. Ja nav iecerēts minētajā likumā ietvert pilnvarojumu iestādei izdot iekšēju normatīvu aktu, aicinām neizmantot vārdu "pilnvarojums" un atbilstoši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02.12.2024.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02.12.2024.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