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par ko saņemts Aizsardzības ministrijas atzinums par militārā projekta atbilstību būtiskām valsts drošības interesēm, kas saistītas ar ieroču, munīcijas un militārā aprīkojuma ražošanu, nav kvalificējamas kā komercdarbības atbalsts, un tām nav jāpiemēro šajos noteikumos ietvertie Komisijas regulas Nr. 2023/2831 vai Komisijas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pasākumiem, kas saistīti vienīgi ar drošības un aizsardzības mērķi, komercdarbības atbalsta regulējuma nosacījumus nav jāpiemēro, ja publiskā finansējuma piešķiršana (jebkādā formā) saimnieciskās darbības veicējiem ir paredzēta to īstenotajām darbībām vienīgi militārajā jomā (atbilstoši Līguma par Eiropas Savienības darbību 346.panta 1.daļas (b) apakšpunktā noteiktajam). Turklāt saskaņā ar Eiropas Komisijas lēmumu praksē nostiprināto (piemēram, Eiropas Komisijas 2017.gada 20.novembra lēmumā lietā par valsts atbalstu SA.34308, ko īstenojusi Grieķijas Republika par labu Hellenic Defence Systems S.A. (pieejams: https://eur-lex.europa.eu/legalcontent/LV/TXT/HTML/?uri=CELEX:32018D0563)), lai konstatētu, vai projektam militārā jomā nav jāpiemēro komercdarbības atbalsta regulējums, ir jāizpildās šādiem diviem priekšnoteikumiem: 1) pasākums skar būtiskas valsts drošības intereses un 2) </w:t>
            </w:r>
            <w:r w:rsidR="00000000" w:rsidRPr="00000000" w:rsidDel="00000000">
              <w:rPr>
                <w:u w:val="single"/>
                <w:rtl w:val="0"/>
              </w:rPr>
              <w:t xml:space="preserve">pasākums ir saistīts ar tādu ieroču, munīcijas un militārā aprīkojuma ražošanu vai tirdzniecību, kas ir iekļauts Eiropas Savienības Kopējam militāro preču sarakstā</w:t>
            </w:r>
            <w:r w:rsidR="00000000" w:rsidRPr="00000000" w:rsidDel="00000000">
              <w:rPr>
                <w:rtl w:val="0"/>
              </w:rPr>
              <w:t xml:space="preserve">. Ievērojot minēto, atkārtoti lūdzam precizēt MK noteikumu Nr.383 5.</w:t>
            </w:r>
            <w:r w:rsidR="00000000" w:rsidRPr="00000000" w:rsidDel="00000000">
              <w:rPr>
                <w:vertAlign w:val="superscript"/>
                <w:rtl w:val="0"/>
              </w:rPr>
              <w:t xml:space="preserve">1</w:t>
            </w:r>
            <w:r w:rsidR="00000000" w:rsidRPr="00000000" w:rsidDel="00000000">
              <w:rPr>
                <w:rtl w:val="0"/>
              </w:rPr>
              <w:t xml:space="preserve"> punktu, ietverot tajā trūkstošo kritēriju par projekta ietvaros radīto ieroču, munīcijas un militārā aprīkojuma atbilstību Eiropas Savienības Kopējam militāro preču sarakstam, piemēram, piedāvātajā redakcijā. Papildus lūdzam atbilstoši precizēt arī anotācijas 1.3.sadaļā ietverto skaidrojumu, jo arī tajā iztrūkst skaidrojums par to, ka tiks vērtēta projekta ietvaros radīto ieroču, munīcijas un militārā aprīkojuma atbilstības Eiropas Savienības Kopējam militāro preču sarakstam.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kas šo noteikumu ietvaros tiek piešķirtas militāriem projektiem drošības un aizsardzības jomā, par kuriem saņemts Aizsardzības ministrijas atzinums par militārā projekta atbilstību būtiskām valsts drošības interesēm un kas saistīti ar tādu ieroču, munīcijas un militārā aprīkojuma ražošanu, kas atbilst Eiropas Savienības Kopējam militāro preču sarakstam, nav kvalificējamas kā komercdarbības atbalsts, un tām nav jāpiemēro šajos noteikumos ietvertie Komisijas regulas Nr. 2023/2831 vai Komisijas regulas  Nr. 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13.08.2026.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13.08.2026.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