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30.3. apakšpunktā norādīta atsauce uz nesaistošiem dokumentiem (vadlīnijām). Ņemot vērā minēto, lūdzam visā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Nr. 2021/1060) 47. un 50. pantu un normatīvajiem aktiem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 8.1.8., 8.1.9., 8.1.10., 8.1.12., un 8.2.sadaļu ar informāciju par pasākuma 1.2.3.2.  ietekmi uz horizontālo principu “Vienlīdzība, iekļaušana, nediskriminācija un pamattiesību ievērošana” (turpmāk - HP) atbilstoši Labklājības ministrijas un Tieslietu ministrijas izstrādātajām vadlīnijām horizontālā principa “Vienlīdzība, iekļaušana, nediskriminācija un pamattiesību ievērošana” īstenošanai un uzraudzībai (turpmāk - vadlīnijas) (skatīt šeit: https://www.lm.gov.lv/lv/vadlinijas-horizontala-principa-vienlidziba-ieklausana-nediskriminacija-un-pamattiesibu-ieverosana-istenosanai-un-uzraudzibai-2021-2027,skat.vadlīniju 4.4. sadaļu "MK noteikumu anotācijas aizpildīšana"), iekļaujot vismaz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 ietekmi uz HP (saskaņā ar vadlīnijām 1.2.3.2. pasākumam ir netieša ietekme uz HP (skat. vadlīniju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vērtēšanas kritērija veidu, kurš tiks piemērots projektu iesniegumu vērtēšanā (kvalitātes kritērijs, skat. vadlīniju 6.1.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vispārīgām un specifiskām HP darbībām, kuras ir jāparedz SAM ietvaros (skat. vispārīgo un specifisko HP darbību piemērus vadlīniju 7. sadaļā) un kas novērš diskrimināciju, veicina dzimumu līdztiesību, nodrošina piekļūstamību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rādītājiem (skat. vadlīniju 4.pielikumu).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15.05.2024.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15.05.2024.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Atzinumi_24-TA-816.docx</dc:title>
</cp:coreProperties>
</file>

<file path=docProps/custom.xml><?xml version="1.0" encoding="utf-8"?>
<Properties xmlns="http://schemas.openxmlformats.org/officeDocument/2006/custom-properties" xmlns:vt="http://schemas.openxmlformats.org/officeDocument/2006/docPropsVTypes"/>
</file>