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C5956" w14:textId="77777777" w:rsidR="00C27142" w:rsidRPr="00393ED4" w:rsidRDefault="00C27142" w:rsidP="00C27142">
      <w:pPr>
        <w:spacing w:after="0"/>
        <w:rPr>
          <w:rFonts w:ascii="Times New Roman" w:hAnsi="Times New Roman" w:cs="Times New Roman"/>
          <w:b/>
          <w:bCs/>
          <w:sz w:val="24"/>
          <w:szCs w:val="24"/>
        </w:rPr>
      </w:pPr>
      <w:r w:rsidRPr="00393ED4">
        <w:rPr>
          <w:rFonts w:ascii="Times New Roman" w:hAnsi="Times New Roman" w:cs="Times New Roman"/>
          <w:i/>
          <w:noProof/>
        </w:rPr>
        <w:drawing>
          <wp:anchor distT="0" distB="0" distL="114300" distR="114300" simplePos="0" relativeHeight="251659264" behindDoc="0" locked="0" layoutInCell="1" allowOverlap="1" wp14:anchorId="7C13B6AE" wp14:editId="1B5423DB">
            <wp:simplePos x="0" y="0"/>
            <wp:positionH relativeFrom="margin">
              <wp:align>right</wp:align>
            </wp:positionH>
            <wp:positionV relativeFrom="margin">
              <wp:align>top</wp:align>
            </wp:positionV>
            <wp:extent cx="2704289" cy="1125220"/>
            <wp:effectExtent l="0" t="0" r="0"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cil2020-raise-the-bar_v3-transparent.png"/>
                    <pic:cNvPicPr/>
                  </pic:nvPicPr>
                  <pic:blipFill rotWithShape="1">
                    <a:blip r:embed="rId8" cstate="print">
                      <a:extLst>
                        <a:ext uri="{28A0092B-C50C-407E-A947-70E740481C1C}">
                          <a14:useLocalDpi xmlns:a14="http://schemas.microsoft.com/office/drawing/2010/main" val="0"/>
                        </a:ext>
                      </a:extLst>
                    </a:blip>
                    <a:srcRect r="5760"/>
                    <a:stretch/>
                  </pic:blipFill>
                  <pic:spPr bwMode="auto">
                    <a:xfrm>
                      <a:off x="0" y="0"/>
                      <a:ext cx="2704289" cy="1125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1C1E37" w14:textId="77777777" w:rsidR="00C27142" w:rsidRPr="00393ED4" w:rsidRDefault="00C27142" w:rsidP="00C27142">
      <w:pPr>
        <w:spacing w:after="0"/>
        <w:rPr>
          <w:rFonts w:ascii="Times New Roman" w:hAnsi="Times New Roman" w:cs="Times New Roman"/>
          <w:b/>
          <w:bCs/>
          <w:sz w:val="24"/>
          <w:szCs w:val="24"/>
        </w:rPr>
      </w:pPr>
    </w:p>
    <w:p w14:paraId="17C02C6D" w14:textId="77777777" w:rsidR="00C27142" w:rsidRPr="00393ED4" w:rsidRDefault="00C27142" w:rsidP="00C27142">
      <w:pPr>
        <w:spacing w:after="0"/>
        <w:jc w:val="right"/>
        <w:rPr>
          <w:rFonts w:ascii="Times New Roman" w:hAnsi="Times New Roman" w:cs="Times New Roman"/>
          <w:b/>
          <w:bCs/>
          <w:sz w:val="24"/>
          <w:szCs w:val="24"/>
        </w:rPr>
      </w:pPr>
    </w:p>
    <w:p w14:paraId="42752298" w14:textId="77777777" w:rsidR="00C27142" w:rsidRPr="00393ED4" w:rsidRDefault="00C27142" w:rsidP="00C27142">
      <w:pPr>
        <w:spacing w:after="0"/>
        <w:jc w:val="right"/>
        <w:rPr>
          <w:rFonts w:ascii="Times New Roman" w:hAnsi="Times New Roman" w:cs="Times New Roman"/>
          <w:b/>
          <w:bCs/>
          <w:sz w:val="24"/>
          <w:szCs w:val="24"/>
        </w:rPr>
      </w:pPr>
    </w:p>
    <w:p w14:paraId="22BD089F" w14:textId="77777777" w:rsidR="00C27142" w:rsidRPr="00393ED4" w:rsidRDefault="00C27142" w:rsidP="00C27142">
      <w:pPr>
        <w:spacing w:after="0"/>
        <w:jc w:val="right"/>
        <w:rPr>
          <w:rFonts w:ascii="Times New Roman" w:hAnsi="Times New Roman" w:cs="Times New Roman"/>
          <w:b/>
          <w:bCs/>
          <w:sz w:val="24"/>
          <w:szCs w:val="24"/>
        </w:rPr>
      </w:pPr>
    </w:p>
    <w:p w14:paraId="490088B6" w14:textId="77777777" w:rsidR="00C27142" w:rsidRPr="00393ED4" w:rsidRDefault="00C27142" w:rsidP="00C27142">
      <w:pPr>
        <w:spacing w:after="0"/>
        <w:jc w:val="right"/>
        <w:rPr>
          <w:rFonts w:ascii="Times New Roman" w:hAnsi="Times New Roman" w:cs="Times New Roman"/>
          <w:b/>
          <w:bCs/>
          <w:sz w:val="24"/>
          <w:szCs w:val="24"/>
        </w:rPr>
      </w:pPr>
    </w:p>
    <w:p w14:paraId="34899CDD" w14:textId="77777777" w:rsidR="00C27142" w:rsidRPr="00C27142" w:rsidRDefault="00C27142" w:rsidP="00C27142">
      <w:pPr>
        <w:spacing w:after="0"/>
        <w:jc w:val="right"/>
        <w:rPr>
          <w:rFonts w:ascii="Times New Roman" w:hAnsi="Times New Roman" w:cs="Times New Roman"/>
          <w:b/>
          <w:bCs/>
          <w:sz w:val="24"/>
          <w:szCs w:val="24"/>
        </w:rPr>
      </w:pPr>
    </w:p>
    <w:p w14:paraId="1E538F99" w14:textId="0E6472E6" w:rsidR="00C27142" w:rsidRPr="00C27142" w:rsidRDefault="00C27142" w:rsidP="00C27142">
      <w:pPr>
        <w:spacing w:after="0"/>
        <w:jc w:val="both"/>
        <w:rPr>
          <w:rFonts w:ascii="Times New Roman" w:hAnsi="Times New Roman" w:cs="Times New Roman"/>
          <w:sz w:val="24"/>
          <w:szCs w:val="24"/>
        </w:rPr>
      </w:pPr>
      <w:r w:rsidRPr="00C27142">
        <w:rPr>
          <w:rFonts w:ascii="Times New Roman" w:hAnsi="Times New Roman" w:cs="Times New Roman"/>
          <w:sz w:val="24"/>
          <w:szCs w:val="24"/>
        </w:rPr>
        <w:t xml:space="preserve">Rīgā, 2021. gada </w:t>
      </w:r>
      <w:r w:rsidR="0012344A">
        <w:rPr>
          <w:rFonts w:ascii="Times New Roman" w:hAnsi="Times New Roman" w:cs="Times New Roman"/>
          <w:sz w:val="24"/>
          <w:szCs w:val="24"/>
        </w:rPr>
        <w:t>28</w:t>
      </w:r>
      <w:r w:rsidRPr="00C27142">
        <w:rPr>
          <w:rFonts w:ascii="Times New Roman" w:hAnsi="Times New Roman" w:cs="Times New Roman"/>
          <w:sz w:val="24"/>
          <w:szCs w:val="24"/>
        </w:rPr>
        <w:t xml:space="preserve">. </w:t>
      </w:r>
      <w:r w:rsidR="0012344A">
        <w:rPr>
          <w:rFonts w:ascii="Times New Roman" w:hAnsi="Times New Roman" w:cs="Times New Roman"/>
          <w:sz w:val="24"/>
          <w:szCs w:val="24"/>
        </w:rPr>
        <w:t>septembrī</w:t>
      </w:r>
    </w:p>
    <w:p w14:paraId="06B894BC" w14:textId="369095BE" w:rsidR="00C27142" w:rsidRPr="00C27142" w:rsidRDefault="00C27142" w:rsidP="00C27142">
      <w:pPr>
        <w:spacing w:after="0"/>
        <w:jc w:val="both"/>
        <w:rPr>
          <w:rFonts w:ascii="Times New Roman" w:hAnsi="Times New Roman" w:cs="Times New Roman"/>
          <w:sz w:val="24"/>
          <w:szCs w:val="24"/>
        </w:rPr>
      </w:pPr>
      <w:r w:rsidRPr="00C27142">
        <w:rPr>
          <w:rFonts w:ascii="Times New Roman" w:hAnsi="Times New Roman" w:cs="Times New Roman"/>
          <w:sz w:val="24"/>
          <w:szCs w:val="24"/>
        </w:rPr>
        <w:t xml:space="preserve">Nr. </w:t>
      </w:r>
      <w:r w:rsidR="004F16B4">
        <w:rPr>
          <w:rFonts w:ascii="Times New Roman" w:hAnsi="Times New Roman" w:cs="Times New Roman"/>
          <w:sz w:val="24"/>
          <w:szCs w:val="24"/>
        </w:rPr>
        <w:t>54</w:t>
      </w:r>
      <w:r w:rsidRPr="00C27142">
        <w:rPr>
          <w:rFonts w:ascii="Times New Roman" w:hAnsi="Times New Roman" w:cs="Times New Roman"/>
          <w:sz w:val="24"/>
          <w:szCs w:val="24"/>
        </w:rPr>
        <w:t>/2021</w:t>
      </w:r>
    </w:p>
    <w:p w14:paraId="722EB3F4" w14:textId="77777777" w:rsidR="00C27142" w:rsidRPr="00C27142" w:rsidRDefault="00C27142" w:rsidP="00C27142">
      <w:pPr>
        <w:spacing w:after="0"/>
        <w:jc w:val="right"/>
        <w:rPr>
          <w:rFonts w:ascii="Times New Roman" w:hAnsi="Times New Roman" w:cs="Times New Roman"/>
          <w:b/>
          <w:bCs/>
          <w:sz w:val="24"/>
          <w:szCs w:val="24"/>
        </w:rPr>
      </w:pPr>
    </w:p>
    <w:p w14:paraId="59748B16" w14:textId="7979E975" w:rsidR="004F16B4" w:rsidRDefault="009D32DE" w:rsidP="00287900">
      <w:pPr>
        <w:spacing w:after="0" w:line="240" w:lineRule="auto"/>
        <w:jc w:val="right"/>
        <w:rPr>
          <w:rFonts w:ascii="Georgia" w:hAnsi="Georgia"/>
          <w:b/>
          <w:bCs/>
          <w:sz w:val="20"/>
          <w:szCs w:val="20"/>
        </w:rPr>
      </w:pPr>
      <w:r>
        <w:rPr>
          <w:rFonts w:ascii="Georgia" w:hAnsi="Georgia"/>
          <w:b/>
          <w:bCs/>
          <w:sz w:val="20"/>
          <w:szCs w:val="20"/>
        </w:rPr>
        <w:t xml:space="preserve">Latvijas Republikas </w:t>
      </w:r>
      <w:r w:rsidR="004F16B4">
        <w:rPr>
          <w:rFonts w:ascii="Georgia" w:hAnsi="Georgia"/>
          <w:b/>
          <w:bCs/>
          <w:sz w:val="20"/>
          <w:szCs w:val="20"/>
        </w:rPr>
        <w:t>Ekonomikas ministram</w:t>
      </w:r>
    </w:p>
    <w:p w14:paraId="04BD8647" w14:textId="1C8F3B3D" w:rsidR="00287900" w:rsidRDefault="00287900" w:rsidP="00287900">
      <w:pPr>
        <w:spacing w:after="0" w:line="240" w:lineRule="auto"/>
        <w:jc w:val="right"/>
        <w:rPr>
          <w:rFonts w:ascii="Georgia" w:hAnsi="Georgia"/>
          <w:b/>
          <w:bCs/>
          <w:sz w:val="20"/>
          <w:szCs w:val="20"/>
          <w:lang w:val="en-US"/>
        </w:rPr>
      </w:pPr>
      <w:r>
        <w:rPr>
          <w:rFonts w:ascii="Georgia" w:hAnsi="Georgia"/>
          <w:b/>
          <w:bCs/>
          <w:sz w:val="20"/>
          <w:szCs w:val="20"/>
        </w:rPr>
        <w:t xml:space="preserve">J. </w:t>
      </w:r>
      <w:proofErr w:type="spellStart"/>
      <w:r>
        <w:rPr>
          <w:rFonts w:ascii="Georgia" w:hAnsi="Georgia"/>
          <w:b/>
          <w:bCs/>
          <w:sz w:val="20"/>
          <w:szCs w:val="20"/>
        </w:rPr>
        <w:t>Vitenberg</w:t>
      </w:r>
      <w:r w:rsidR="000D4CD9">
        <w:rPr>
          <w:rFonts w:ascii="Georgia" w:hAnsi="Georgia"/>
          <w:b/>
          <w:bCs/>
          <w:sz w:val="20"/>
          <w:szCs w:val="20"/>
        </w:rPr>
        <w:t>a</w:t>
      </w:r>
      <w:proofErr w:type="spellEnd"/>
      <w:r>
        <w:rPr>
          <w:rFonts w:ascii="Georgia" w:hAnsi="Georgia"/>
          <w:b/>
          <w:bCs/>
          <w:sz w:val="20"/>
          <w:szCs w:val="20"/>
        </w:rPr>
        <w:t xml:space="preserve"> kungam</w:t>
      </w:r>
    </w:p>
    <w:p w14:paraId="6708BA42" w14:textId="24D3E0D6" w:rsidR="004F16B4" w:rsidRDefault="00D16935" w:rsidP="00287900">
      <w:pPr>
        <w:spacing w:after="0" w:line="240" w:lineRule="auto"/>
        <w:jc w:val="right"/>
      </w:pPr>
      <w:hyperlink r:id="rId9" w:history="1">
        <w:r w:rsidR="004F16B4">
          <w:rPr>
            <w:rStyle w:val="Hyperlink"/>
            <w:rFonts w:ascii="Georgia" w:hAnsi="Georgia"/>
            <w:sz w:val="20"/>
            <w:szCs w:val="20"/>
          </w:rPr>
          <w:t>Pasts@em.gov.lv</w:t>
        </w:r>
      </w:hyperlink>
    </w:p>
    <w:p w14:paraId="6F654A4E" w14:textId="77777777" w:rsidR="00287900" w:rsidRDefault="00287900" w:rsidP="00287900">
      <w:pPr>
        <w:spacing w:after="0" w:line="240" w:lineRule="auto"/>
        <w:jc w:val="right"/>
        <w:rPr>
          <w:rFonts w:ascii="Georgia" w:hAnsi="Georgia"/>
          <w:sz w:val="20"/>
          <w:szCs w:val="20"/>
        </w:rPr>
      </w:pPr>
    </w:p>
    <w:p w14:paraId="54DE6C10" w14:textId="0F0F3205" w:rsidR="004F16B4" w:rsidRDefault="004F16B4" w:rsidP="00287900">
      <w:pPr>
        <w:spacing w:after="0" w:line="240" w:lineRule="auto"/>
        <w:jc w:val="right"/>
        <w:rPr>
          <w:rFonts w:ascii="Georgia" w:hAnsi="Georgia"/>
          <w:b/>
          <w:bCs/>
          <w:sz w:val="20"/>
          <w:szCs w:val="20"/>
        </w:rPr>
      </w:pPr>
      <w:r>
        <w:rPr>
          <w:rFonts w:ascii="Georgia" w:hAnsi="Georgia"/>
          <w:b/>
          <w:bCs/>
          <w:sz w:val="20"/>
          <w:szCs w:val="20"/>
        </w:rPr>
        <w:t>Konkurences padomes priekšsēdētājam</w:t>
      </w:r>
    </w:p>
    <w:p w14:paraId="54FEAB14" w14:textId="34C98E8A" w:rsidR="00287900" w:rsidRDefault="00287900" w:rsidP="00287900">
      <w:pPr>
        <w:spacing w:after="0" w:line="240" w:lineRule="auto"/>
        <w:jc w:val="right"/>
        <w:rPr>
          <w:rFonts w:ascii="Georgia" w:hAnsi="Georgia"/>
          <w:b/>
          <w:bCs/>
          <w:sz w:val="20"/>
          <w:szCs w:val="20"/>
        </w:rPr>
      </w:pPr>
      <w:r>
        <w:rPr>
          <w:rFonts w:ascii="Georgia" w:hAnsi="Georgia"/>
          <w:b/>
          <w:bCs/>
          <w:sz w:val="20"/>
          <w:szCs w:val="20"/>
        </w:rPr>
        <w:t>J. Gaiķa kungam</w:t>
      </w:r>
    </w:p>
    <w:p w14:paraId="73E485D7" w14:textId="1BE08700" w:rsidR="004F16B4" w:rsidRDefault="00D16935" w:rsidP="00287900">
      <w:pPr>
        <w:spacing w:after="0" w:line="240" w:lineRule="auto"/>
        <w:jc w:val="right"/>
      </w:pPr>
      <w:hyperlink r:id="rId10" w:history="1">
        <w:r w:rsidR="004F16B4">
          <w:rPr>
            <w:rStyle w:val="Hyperlink"/>
            <w:rFonts w:ascii="Georgia" w:hAnsi="Georgia"/>
            <w:sz w:val="20"/>
            <w:szCs w:val="20"/>
          </w:rPr>
          <w:t>pasts@kp.gov.lv</w:t>
        </w:r>
      </w:hyperlink>
    </w:p>
    <w:p w14:paraId="0FA7DDCD" w14:textId="77777777" w:rsidR="00287900" w:rsidRDefault="00287900" w:rsidP="00287900">
      <w:pPr>
        <w:spacing w:after="0" w:line="240" w:lineRule="auto"/>
        <w:jc w:val="right"/>
        <w:rPr>
          <w:rFonts w:ascii="Georgia" w:hAnsi="Georgia"/>
          <w:sz w:val="20"/>
          <w:szCs w:val="20"/>
        </w:rPr>
      </w:pPr>
    </w:p>
    <w:p w14:paraId="20EF75C1" w14:textId="21A0D02C" w:rsidR="004F16B4" w:rsidRDefault="004F16B4" w:rsidP="00287900">
      <w:pPr>
        <w:spacing w:after="0" w:line="240" w:lineRule="auto"/>
        <w:jc w:val="right"/>
        <w:rPr>
          <w:rFonts w:ascii="Georgia" w:hAnsi="Georgia"/>
          <w:b/>
          <w:bCs/>
          <w:sz w:val="20"/>
          <w:szCs w:val="20"/>
        </w:rPr>
      </w:pPr>
      <w:r>
        <w:rPr>
          <w:rFonts w:ascii="Georgia" w:hAnsi="Georgia"/>
          <w:b/>
          <w:bCs/>
          <w:sz w:val="20"/>
          <w:szCs w:val="20"/>
        </w:rPr>
        <w:t>Latvijas Investīciju un attīstības aģentūra</w:t>
      </w:r>
      <w:r w:rsidR="00287900">
        <w:rPr>
          <w:rFonts w:ascii="Georgia" w:hAnsi="Georgia"/>
          <w:b/>
          <w:bCs/>
          <w:sz w:val="20"/>
          <w:szCs w:val="20"/>
        </w:rPr>
        <w:t>s direktoram</w:t>
      </w:r>
    </w:p>
    <w:p w14:paraId="315EE3EE" w14:textId="7A96D15C" w:rsidR="00287900" w:rsidRDefault="00287900" w:rsidP="00287900">
      <w:pPr>
        <w:spacing w:after="0" w:line="240" w:lineRule="auto"/>
        <w:jc w:val="right"/>
        <w:rPr>
          <w:rFonts w:ascii="Georgia" w:hAnsi="Georgia"/>
          <w:b/>
          <w:bCs/>
          <w:sz w:val="20"/>
          <w:szCs w:val="20"/>
        </w:rPr>
      </w:pPr>
      <w:r>
        <w:rPr>
          <w:rFonts w:ascii="Georgia" w:hAnsi="Georgia"/>
          <w:b/>
          <w:bCs/>
          <w:sz w:val="20"/>
          <w:szCs w:val="20"/>
        </w:rPr>
        <w:t>K. Rožkalna kungam</w:t>
      </w:r>
    </w:p>
    <w:p w14:paraId="1D852F47" w14:textId="77777777" w:rsidR="004F16B4" w:rsidRDefault="00D16935" w:rsidP="00287900">
      <w:pPr>
        <w:spacing w:after="0" w:line="240" w:lineRule="auto"/>
        <w:jc w:val="right"/>
        <w:rPr>
          <w:rFonts w:ascii="Georgia" w:hAnsi="Georgia"/>
          <w:sz w:val="20"/>
          <w:szCs w:val="20"/>
        </w:rPr>
      </w:pPr>
      <w:hyperlink r:id="rId11" w:history="1">
        <w:r w:rsidR="004F16B4">
          <w:rPr>
            <w:rStyle w:val="Hyperlink"/>
            <w:rFonts w:ascii="Georgia" w:hAnsi="Georgia"/>
            <w:sz w:val="20"/>
            <w:szCs w:val="20"/>
          </w:rPr>
          <w:t>pasts@liaa.gov.lv</w:t>
        </w:r>
      </w:hyperlink>
      <w:r w:rsidR="004F16B4">
        <w:rPr>
          <w:rFonts w:ascii="Georgia" w:hAnsi="Georgia"/>
          <w:sz w:val="20"/>
          <w:szCs w:val="20"/>
        </w:rPr>
        <w:t xml:space="preserve"> </w:t>
      </w:r>
    </w:p>
    <w:p w14:paraId="3280D6DF" w14:textId="77777777" w:rsidR="00C27142" w:rsidRPr="00C27142" w:rsidRDefault="00C27142" w:rsidP="00C27142">
      <w:pPr>
        <w:spacing w:after="0" w:line="240" w:lineRule="auto"/>
        <w:jc w:val="right"/>
        <w:rPr>
          <w:rFonts w:ascii="Times New Roman" w:hAnsi="Times New Roman" w:cs="Times New Roman"/>
          <w:sz w:val="24"/>
          <w:szCs w:val="24"/>
        </w:rPr>
      </w:pPr>
    </w:p>
    <w:p w14:paraId="7C4F38D4" w14:textId="77777777" w:rsidR="00C27142" w:rsidRPr="00C27142" w:rsidRDefault="00C27142" w:rsidP="00C27142">
      <w:pPr>
        <w:jc w:val="both"/>
        <w:rPr>
          <w:rFonts w:ascii="Times New Roman" w:hAnsi="Times New Roman" w:cs="Times New Roman"/>
          <w:i/>
          <w:iCs/>
          <w:sz w:val="24"/>
          <w:szCs w:val="24"/>
        </w:rPr>
      </w:pPr>
    </w:p>
    <w:p w14:paraId="3E437D39" w14:textId="44DB4A28" w:rsidR="002213AC" w:rsidRDefault="004F16B4">
      <w:pPr>
        <w:rPr>
          <w:rFonts w:ascii="Times New Roman" w:hAnsi="Times New Roman" w:cs="Times New Roman"/>
          <w:i/>
          <w:iCs/>
          <w:sz w:val="24"/>
          <w:szCs w:val="24"/>
        </w:rPr>
      </w:pPr>
      <w:r>
        <w:rPr>
          <w:rFonts w:ascii="Times New Roman" w:hAnsi="Times New Roman" w:cs="Times New Roman"/>
          <w:i/>
          <w:iCs/>
          <w:sz w:val="24"/>
          <w:szCs w:val="24"/>
        </w:rPr>
        <w:t xml:space="preserve">Par </w:t>
      </w:r>
      <w:r w:rsidR="00B11D3D">
        <w:rPr>
          <w:rFonts w:ascii="Times New Roman" w:hAnsi="Times New Roman" w:cs="Times New Roman"/>
          <w:i/>
          <w:iCs/>
          <w:sz w:val="24"/>
          <w:szCs w:val="24"/>
        </w:rPr>
        <w:t>likumprojektu “G</w:t>
      </w:r>
      <w:r>
        <w:rPr>
          <w:rFonts w:ascii="Times New Roman" w:hAnsi="Times New Roman" w:cs="Times New Roman"/>
          <w:i/>
          <w:iCs/>
          <w:sz w:val="24"/>
          <w:szCs w:val="24"/>
        </w:rPr>
        <w:t>rozījumi Konkurences likumā</w:t>
      </w:r>
      <w:r w:rsidR="00B11D3D">
        <w:rPr>
          <w:rFonts w:ascii="Times New Roman" w:hAnsi="Times New Roman" w:cs="Times New Roman"/>
          <w:i/>
          <w:iCs/>
          <w:sz w:val="24"/>
          <w:szCs w:val="24"/>
        </w:rPr>
        <w:t>”</w:t>
      </w:r>
    </w:p>
    <w:p w14:paraId="1B43DBF8" w14:textId="78DFD2F0" w:rsidR="004F16B4" w:rsidRPr="00C57776" w:rsidRDefault="004F16B4" w:rsidP="00287900">
      <w:pPr>
        <w:jc w:val="both"/>
        <w:rPr>
          <w:rFonts w:ascii="Times New Roman" w:hAnsi="Times New Roman" w:cs="Times New Roman"/>
        </w:rPr>
      </w:pPr>
      <w:r w:rsidRPr="00DC48D6">
        <w:rPr>
          <w:rFonts w:ascii="Times New Roman" w:hAnsi="Times New Roman" w:cs="Times New Roman"/>
        </w:rPr>
        <w:t>Atbildot uz saskaņošanā nodotajiem dokumentiem (23.09.2021.) saistībā ar likumprojektu “Grozījumi Konkurences likumā” (</w:t>
      </w:r>
      <w:r w:rsidRPr="00DC48D6">
        <w:rPr>
          <w:rFonts w:ascii="Times New Roman" w:hAnsi="Times New Roman" w:cs="Times New Roman"/>
          <w:b/>
          <w:bCs/>
        </w:rPr>
        <w:t>“Likumprojekts”</w:t>
      </w:r>
      <w:r w:rsidRPr="00DC48D6">
        <w:rPr>
          <w:rFonts w:ascii="Times New Roman" w:hAnsi="Times New Roman" w:cs="Times New Roman"/>
        </w:rPr>
        <w:t>), Ārvalstu investoru padome Latvijā (turpmāk – FICIL) vērš likumprojekta virzītāja uzmanību uz šādiem apsvērumiem.</w:t>
      </w:r>
    </w:p>
    <w:p w14:paraId="155A7FC1" w14:textId="37C658E7"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FICIL vienmēr ir augsti vērtējusi publiskā sektora </w:t>
      </w:r>
      <w:proofErr w:type="spellStart"/>
      <w:r w:rsidRPr="00DC48D6">
        <w:rPr>
          <w:rFonts w:ascii="Times New Roman" w:hAnsi="Times New Roman" w:cs="Times New Roman"/>
        </w:rPr>
        <w:t>atvērtību</w:t>
      </w:r>
      <w:proofErr w:type="spellEnd"/>
      <w:r w:rsidRPr="00DC48D6">
        <w:rPr>
          <w:rFonts w:ascii="Times New Roman" w:hAnsi="Times New Roman" w:cs="Times New Roman"/>
        </w:rPr>
        <w:t xml:space="preserve"> sadarbībai ar privāto sektoru. Tas, jo īpaši, ir būtiski likumdošanas procesā, kur tiek izvērtēti sabiedrībai un ekonomikai būtisku jautājumu risinājumi. Privātā sektora dalība likumdošanas procesā pilnveido regulējuma piemērotību dažādu tautsaimniecību jomu niansēm un veicina komunikāciju un izpratni starp privāto un publisko sektoru, stiprinot uzņēmējdarbības vidi un piesaistot investīcijas tautsaimniecībai.</w:t>
      </w:r>
    </w:p>
    <w:p w14:paraId="4BE3CD9A" w14:textId="118DC9CD"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Likumdošanas procesā ir būtiski, tostarp, izprast grozījumu sasniedzamo mērķi un izvēlēto metožu piemērotību. Lai izvērtētu sasniedzamo mērķus, ir nepieciešams nodrošināt, ka tiek veikts ietekmes novērtējums gan esošajam, gan plānotajam regulējumam. </w:t>
      </w:r>
    </w:p>
    <w:p w14:paraId="7D537983" w14:textId="4B55912A"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FICIL ir bijusi iesaistīta Likumprojekta saskaņošanā no tā sākuma 2020.gada rudenī, ir veikti būtiski pilnveidojumi Likumprojektā un kopumā FICIL atbalsta Likumprojektu. </w:t>
      </w:r>
    </w:p>
    <w:p w14:paraId="06699E5D" w14:textId="77777777" w:rsidR="004F16B4" w:rsidRPr="00DC48D6" w:rsidRDefault="004F16B4" w:rsidP="00287900">
      <w:pPr>
        <w:jc w:val="both"/>
        <w:rPr>
          <w:rFonts w:ascii="Times New Roman" w:hAnsi="Times New Roman" w:cs="Times New Roman"/>
        </w:rPr>
      </w:pPr>
      <w:r w:rsidRPr="00DC48D6">
        <w:rPr>
          <w:rFonts w:ascii="Times New Roman" w:hAnsi="Times New Roman" w:cs="Times New Roman"/>
        </w:rPr>
        <w:t>Vienlaikus ar pēdējo redakciju ir veikti būtiski grozījumi, kuru nepieciešamība un sasniedzamais mērķis nav skaidrs no anotācijas un komunikācijas ar Ekonomikas ministriju, proti, nepieciešamība attiecināt naudas sodu maksimālā sliekšņa (10%) uz uzņēmumu pasaules apgrozījumu vienīgi par Eiropas Savienības konkurences tiesību pārkāpumiem.</w:t>
      </w:r>
    </w:p>
    <w:p w14:paraId="1CED0E5C" w14:textId="56D07DC4"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Attiecībā uz riskiem ieviešot atšķirīgu pieeju konkurences tiesību pārkāpumiem Latvijā, FICIL norādījis ir vairākkārt, kas tika atspoguļots arī Ekonomikas ministrijas 20.08.2021. nosūtītajā Likumprojekta izziņā: </w:t>
      </w:r>
    </w:p>
    <w:p w14:paraId="4D4C9838" w14:textId="77777777" w:rsidR="004F16B4" w:rsidRPr="00DC48D6" w:rsidRDefault="004F16B4" w:rsidP="00287900">
      <w:pPr>
        <w:jc w:val="both"/>
        <w:rPr>
          <w:rFonts w:ascii="Times New Roman" w:hAnsi="Times New Roman" w:cs="Times New Roman"/>
        </w:rPr>
      </w:pPr>
      <w:r w:rsidRPr="00DC48D6">
        <w:rPr>
          <w:rFonts w:ascii="Times New Roman" w:hAnsi="Times New Roman" w:cs="Times New Roman"/>
          <w:i/>
          <w:iCs/>
        </w:rPr>
        <w:t>“Papildus norādāms, ka arī sociālie partneri, piemēram, Ārvalstu investoru padome Latvijā vērš uzmanību, ka “</w:t>
      </w:r>
      <w:r w:rsidRPr="00DC48D6">
        <w:rPr>
          <w:rFonts w:ascii="Times New Roman" w:hAnsi="Times New Roman" w:cs="Times New Roman"/>
          <w:i/>
          <w:iCs/>
          <w:u w:val="single"/>
        </w:rPr>
        <w:t xml:space="preserve">atšķirīgai naudas soda maksimālo robežu piemērošanai atkarībā no nacionālā vai ES tiesību akta pārkāpuma trūkst pamatojuma. Drīzāk šādas atšķirīgas pieejas veidošana var radīt </w:t>
      </w:r>
      <w:r w:rsidRPr="00DC48D6">
        <w:rPr>
          <w:rFonts w:ascii="Times New Roman" w:hAnsi="Times New Roman" w:cs="Times New Roman"/>
          <w:i/>
          <w:iCs/>
          <w:u w:val="single"/>
        </w:rPr>
        <w:lastRenderedPageBreak/>
        <w:t>diskriminējošu attieksmi pret ārvalsts uzņēmumiem, uz kuru rīcību ir lielāka iespēja konstatēt LESD 101./102. panta piemērošanas priekšnoteikumu, proti, pārrobežu darījumu esamība. Šādās nozarēs, kur pārrobežu darījumu nozīme ir būtiska, visbiežāk ir veiktas ārvalstu investīcijas. Taču tas pats par sevi neliecina, ka pārkāpumi tajās būtu smagāki kā nozarēs, kur pārrobežu darījumi nav būtiskā apmērā. Naudas soda piemērotību pārkāpuma lielumam var nodrošināt ar citām metodēm, proti, pārskatot naudas soda noteikšanas kārtību Ministru kabineta noteikumos, nevis ieviešot atšķirīgus maksimālos sliekšņus naudas sodu proporcijai pret uzņēmuma apgrozījumu</w:t>
      </w:r>
      <w:r w:rsidRPr="00DC48D6">
        <w:rPr>
          <w:rFonts w:ascii="Times New Roman" w:hAnsi="Times New Roman" w:cs="Times New Roman"/>
          <w:i/>
          <w:iCs/>
        </w:rPr>
        <w:t>””.</w:t>
      </w:r>
    </w:p>
    <w:p w14:paraId="0E786A0C" w14:textId="5766BFCB"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Atsauce uz FICIL viedokli un viss citāts ir dzēsts no pašreiz saskaņošanā esošās izziņas redakcijas un neatspoguļo izteikto iebildumu. </w:t>
      </w:r>
    </w:p>
    <w:p w14:paraId="3C890FB3" w14:textId="70B34715"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Tāpēc atkārtoti vēlamies uzsvērt, ka atšķirīga atbildību apmēra noteikšana Likumprojektā nav skaidra, nav sniegts ietekmes </w:t>
      </w:r>
      <w:proofErr w:type="spellStart"/>
      <w:r w:rsidRPr="00DC48D6">
        <w:rPr>
          <w:rFonts w:ascii="Times New Roman" w:hAnsi="Times New Roman" w:cs="Times New Roman"/>
        </w:rPr>
        <w:t>izvērtējums</w:t>
      </w:r>
      <w:proofErr w:type="spellEnd"/>
      <w:r w:rsidRPr="00DC48D6">
        <w:rPr>
          <w:rFonts w:ascii="Times New Roman" w:hAnsi="Times New Roman" w:cs="Times New Roman"/>
        </w:rPr>
        <w:t xml:space="preserve"> un nav norādīts mērķis atšķirīgas pieejas izveidošanai. Ievērojot, ka pārkāpumu klasifikācija (vai būtu konstatējams Eiropas Savienības vai nacionālo tiesību pārkāpums) no Konkurences padomes puses ietver būtisku iestādes rīcības brīvību, kuru līdz šim nacionālās tiesas nav kritiski vērtējusi, naudas sodu efektivitāte par nacionāliem pārkāpumiem var tikt būtiski ietekmēta. Tā kā, lai konstatētu ietekmi uz tirdzniecību starp dalībvalstīm pietiek, ka </w:t>
      </w:r>
      <w:r w:rsidRPr="00DC48D6">
        <w:rPr>
          <w:rFonts w:ascii="Times New Roman" w:hAnsi="Times New Roman" w:cs="Times New Roman"/>
          <w:i/>
          <w:iCs/>
        </w:rPr>
        <w:t>“attiecīgais uzņēmums nodarbojas ar eksportu uz vai importu no citām dalībvalstīm un turklāt darbojas arī citās dalībvalstīs”</w:t>
      </w:r>
      <w:r w:rsidRPr="00DC48D6">
        <w:rPr>
          <w:rStyle w:val="FootnoteReference"/>
          <w:rFonts w:ascii="Times New Roman" w:hAnsi="Times New Roman" w:cs="Times New Roman"/>
          <w:i/>
          <w:iCs/>
        </w:rPr>
        <w:footnoteReference w:id="1"/>
      </w:r>
      <w:r w:rsidRPr="00DC48D6">
        <w:rPr>
          <w:rFonts w:ascii="Times New Roman" w:hAnsi="Times New Roman" w:cs="Times New Roman"/>
        </w:rPr>
        <w:t>, tad ārvalstu investoru rīcībā visbiežāk konstatētu tieši Eiropas Savienības konkurences tiesību pārkāpumus, nevis nacionāla rakstura pārkāpumus, par kuriem šobrīd Ekonomikas ministrija rosina noteikt atšķirīgu naudas sodu maksimālos sliekšņus.</w:t>
      </w:r>
    </w:p>
    <w:p w14:paraId="712C087C" w14:textId="77777777" w:rsidR="004F16B4" w:rsidRPr="00DC48D6" w:rsidRDefault="004F16B4" w:rsidP="00287900">
      <w:pPr>
        <w:jc w:val="both"/>
        <w:rPr>
          <w:rFonts w:ascii="Times New Roman" w:hAnsi="Times New Roman" w:cs="Times New Roman"/>
        </w:rPr>
      </w:pPr>
      <w:r w:rsidRPr="00DC48D6">
        <w:rPr>
          <w:rFonts w:ascii="Times New Roman" w:hAnsi="Times New Roman" w:cs="Times New Roman"/>
        </w:rPr>
        <w:t xml:space="preserve"> Ārvalstu investīciju drošībai un konkurences vides prognozējamībai būtisks nosacījums ir vienlīdzīga attieksme pret uzņēmumiem un efektīva uzraugošo iestāžu darbība. Līdz ar ko lūdzam Ekonomikas ministriju sniegt paskaidrojumus likumdošanas procesa ietvaros par nepieciešamību un sasniedzamo mērķi, nosakot atšķirīgu naudas sodu piemērošanas politiku nacionāla rakstura pārkāpumiem.</w:t>
      </w:r>
    </w:p>
    <w:p w14:paraId="065A97E0" w14:textId="77777777" w:rsidR="004F16B4" w:rsidRPr="00DC48D6" w:rsidRDefault="004F16B4" w:rsidP="00287900">
      <w:pPr>
        <w:jc w:val="both"/>
        <w:rPr>
          <w:rFonts w:ascii="Times New Roman" w:hAnsi="Times New Roman" w:cs="Times New Roman"/>
          <w:sz w:val="24"/>
          <w:szCs w:val="24"/>
        </w:rPr>
      </w:pPr>
    </w:p>
    <w:p w14:paraId="04DF9A4D" w14:textId="438FD951" w:rsidR="00934B3C" w:rsidRPr="00DC48D6" w:rsidRDefault="00934B3C" w:rsidP="00287900">
      <w:pPr>
        <w:spacing w:after="0"/>
        <w:jc w:val="both"/>
        <w:rPr>
          <w:rFonts w:ascii="Times New Roman" w:hAnsi="Times New Roman" w:cs="Times New Roman"/>
          <w:sz w:val="24"/>
          <w:szCs w:val="24"/>
        </w:rPr>
      </w:pPr>
      <w:r w:rsidRPr="00DC48D6">
        <w:rPr>
          <w:rFonts w:ascii="Times New Roman" w:hAnsi="Times New Roman" w:cs="Times New Roman"/>
          <w:sz w:val="24"/>
          <w:szCs w:val="24"/>
        </w:rPr>
        <w:t>Ar cieņu</w:t>
      </w:r>
      <w:r w:rsidR="00842CB1" w:rsidRPr="00DC48D6">
        <w:rPr>
          <w:rFonts w:ascii="Times New Roman" w:hAnsi="Times New Roman" w:cs="Times New Roman"/>
          <w:sz w:val="24"/>
          <w:szCs w:val="24"/>
        </w:rPr>
        <w:t>,</w:t>
      </w:r>
    </w:p>
    <w:p w14:paraId="0090DDF5" w14:textId="2098946E" w:rsidR="00F20147" w:rsidRPr="00DC48D6" w:rsidRDefault="00F20147" w:rsidP="00287900">
      <w:pPr>
        <w:spacing w:after="0"/>
        <w:jc w:val="both"/>
        <w:rPr>
          <w:rFonts w:ascii="Times New Roman" w:hAnsi="Times New Roman" w:cs="Times New Roman"/>
          <w:sz w:val="24"/>
          <w:szCs w:val="24"/>
        </w:rPr>
      </w:pPr>
      <w:r w:rsidRPr="00DC48D6">
        <w:rPr>
          <w:rFonts w:ascii="Times New Roman" w:hAnsi="Times New Roman" w:cs="Times New Roman"/>
          <w:sz w:val="24"/>
          <w:szCs w:val="24"/>
        </w:rPr>
        <w:t>Linda Helmane</w:t>
      </w:r>
    </w:p>
    <w:p w14:paraId="18830965" w14:textId="0A86FCA2" w:rsidR="00F20147" w:rsidRPr="00DC48D6" w:rsidRDefault="00F20147" w:rsidP="00287900">
      <w:pPr>
        <w:spacing w:after="0"/>
        <w:jc w:val="both"/>
        <w:rPr>
          <w:rFonts w:ascii="Times New Roman" w:hAnsi="Times New Roman" w:cs="Times New Roman"/>
          <w:sz w:val="24"/>
          <w:szCs w:val="24"/>
        </w:rPr>
      </w:pPr>
      <w:r w:rsidRPr="00DC48D6">
        <w:rPr>
          <w:rFonts w:ascii="Times New Roman" w:hAnsi="Times New Roman" w:cs="Times New Roman"/>
          <w:sz w:val="24"/>
          <w:szCs w:val="24"/>
        </w:rPr>
        <w:t>FICIL izpilddirektore</w:t>
      </w:r>
    </w:p>
    <w:p w14:paraId="1DF30F08" w14:textId="2F0795BB" w:rsidR="00F20147" w:rsidRPr="00DC48D6" w:rsidRDefault="00F20147" w:rsidP="00934B3C">
      <w:pPr>
        <w:spacing w:after="0"/>
        <w:jc w:val="both"/>
        <w:rPr>
          <w:rFonts w:ascii="Times New Roman" w:hAnsi="Times New Roman" w:cs="Times New Roman"/>
          <w:sz w:val="24"/>
          <w:szCs w:val="24"/>
        </w:rPr>
      </w:pPr>
    </w:p>
    <w:p w14:paraId="4270FCC6" w14:textId="77777777" w:rsidR="00934B3C" w:rsidRPr="00DC48D6" w:rsidRDefault="00934B3C" w:rsidP="00934B3C">
      <w:pPr>
        <w:jc w:val="both"/>
        <w:rPr>
          <w:rFonts w:ascii="Times New Roman" w:hAnsi="Times New Roman" w:cs="Times New Roman"/>
          <w:sz w:val="24"/>
          <w:szCs w:val="24"/>
        </w:rPr>
      </w:pPr>
    </w:p>
    <w:p w14:paraId="0475732B" w14:textId="44A5A7CE" w:rsidR="00312A3E" w:rsidRPr="00DC48D6" w:rsidRDefault="00934B3C" w:rsidP="00E44AA5">
      <w:pPr>
        <w:jc w:val="center"/>
        <w:rPr>
          <w:rFonts w:ascii="Times New Roman" w:hAnsi="Times New Roman" w:cs="Times New Roman"/>
        </w:rPr>
      </w:pPr>
      <w:r w:rsidRPr="00DC48D6">
        <w:rPr>
          <w:rFonts w:ascii="Times New Roman" w:hAnsi="Times New Roman" w:cs="Times New Roman"/>
        </w:rPr>
        <w:t>ŠIS DOKUMENTS IR ELEKTRONISKI PARAKSTĪTS AR DROŠU ELEKTRONISKO PARAKSTU UN SATUR LAIKA ZĪMOGU</w:t>
      </w:r>
    </w:p>
    <w:sectPr w:rsidR="00312A3E" w:rsidRPr="00DC48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3EB7C" w14:textId="77777777" w:rsidR="00D16935" w:rsidRDefault="00D16935" w:rsidP="004F16B4">
      <w:pPr>
        <w:spacing w:after="0" w:line="240" w:lineRule="auto"/>
      </w:pPr>
      <w:r>
        <w:separator/>
      </w:r>
    </w:p>
  </w:endnote>
  <w:endnote w:type="continuationSeparator" w:id="0">
    <w:p w14:paraId="14678E6C" w14:textId="77777777" w:rsidR="00D16935" w:rsidRDefault="00D16935" w:rsidP="004F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3510B" w14:textId="77777777" w:rsidR="00D16935" w:rsidRDefault="00D16935" w:rsidP="004F16B4">
      <w:pPr>
        <w:spacing w:after="0" w:line="240" w:lineRule="auto"/>
      </w:pPr>
      <w:r>
        <w:separator/>
      </w:r>
    </w:p>
  </w:footnote>
  <w:footnote w:type="continuationSeparator" w:id="0">
    <w:p w14:paraId="6F030B3D" w14:textId="77777777" w:rsidR="00D16935" w:rsidRDefault="00D16935" w:rsidP="004F16B4">
      <w:pPr>
        <w:spacing w:after="0" w:line="240" w:lineRule="auto"/>
      </w:pPr>
      <w:r>
        <w:continuationSeparator/>
      </w:r>
    </w:p>
  </w:footnote>
  <w:footnote w:id="1">
    <w:p w14:paraId="414E81AC" w14:textId="77777777" w:rsidR="004F16B4" w:rsidRDefault="004F16B4" w:rsidP="004F16B4">
      <w:pPr>
        <w:pStyle w:val="FootnoteText"/>
        <w:rPr>
          <w:rFonts w:asciiTheme="majorHAnsi" w:hAnsiTheme="majorHAnsi"/>
          <w:sz w:val="18"/>
          <w:szCs w:val="18"/>
          <w:lang w:val="lv-LV"/>
        </w:rPr>
      </w:pPr>
      <w:r>
        <w:rPr>
          <w:rStyle w:val="FootnoteReference"/>
        </w:rPr>
        <w:footnoteRef/>
      </w:r>
      <w:r>
        <w:t xml:space="preserve"> </w:t>
      </w:r>
      <w:r>
        <w:rPr>
          <w:rFonts w:asciiTheme="majorHAnsi" w:hAnsiTheme="majorHAnsi"/>
          <w:sz w:val="18"/>
          <w:szCs w:val="18"/>
        </w:rPr>
        <w:t xml:space="preserve">Komisijas Paziņojums </w:t>
      </w:r>
      <w:r>
        <w:rPr>
          <w:rFonts w:asciiTheme="majorHAnsi" w:hAnsiTheme="majorHAnsi"/>
          <w:i/>
          <w:iCs/>
          <w:sz w:val="18"/>
          <w:szCs w:val="18"/>
        </w:rPr>
        <w:t>“Pamatnostādnes par Līguma 81. un 82.pantā ietverto jēdzienu “ietekme uz tirdzniecību””</w:t>
      </w:r>
      <w:r>
        <w:rPr>
          <w:rFonts w:asciiTheme="majorHAnsi" w:hAnsiTheme="majorHAnsi"/>
          <w:sz w:val="18"/>
          <w:szCs w:val="18"/>
        </w:rPr>
        <w:t xml:space="preserve"> (2006/C 291/17)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531EE5"/>
    <w:multiLevelType w:val="multilevel"/>
    <w:tmpl w:val="DF3C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42"/>
    <w:rsid w:val="000863E1"/>
    <w:rsid w:val="00090A5E"/>
    <w:rsid w:val="000D4CD9"/>
    <w:rsid w:val="0012344A"/>
    <w:rsid w:val="00156A0D"/>
    <w:rsid w:val="001E065B"/>
    <w:rsid w:val="002213AC"/>
    <w:rsid w:val="0027312B"/>
    <w:rsid w:val="00285E9D"/>
    <w:rsid w:val="00287900"/>
    <w:rsid w:val="002B5102"/>
    <w:rsid w:val="00312A3E"/>
    <w:rsid w:val="00351AE6"/>
    <w:rsid w:val="00421294"/>
    <w:rsid w:val="004E4E7F"/>
    <w:rsid w:val="004F16B4"/>
    <w:rsid w:val="00842CB1"/>
    <w:rsid w:val="00934B3C"/>
    <w:rsid w:val="009D32DE"/>
    <w:rsid w:val="00AD70EE"/>
    <w:rsid w:val="00B11D3D"/>
    <w:rsid w:val="00C27142"/>
    <w:rsid w:val="00C57776"/>
    <w:rsid w:val="00D16935"/>
    <w:rsid w:val="00D6272F"/>
    <w:rsid w:val="00D94B13"/>
    <w:rsid w:val="00DC48D6"/>
    <w:rsid w:val="00E1358C"/>
    <w:rsid w:val="00E22FB4"/>
    <w:rsid w:val="00E30D67"/>
    <w:rsid w:val="00E44AA5"/>
    <w:rsid w:val="00E46EAC"/>
    <w:rsid w:val="00ED1E08"/>
    <w:rsid w:val="00F20147"/>
    <w:rsid w:val="00F9097E"/>
    <w:rsid w:val="00FA3AAF"/>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B36E"/>
  <w15:chartTrackingRefBased/>
  <w15:docId w15:val="{C3AE30B5-02E4-124B-86A6-18ECF8FE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142"/>
    <w:pPr>
      <w:spacing w:after="160" w:line="259"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142"/>
    <w:rPr>
      <w:color w:val="0563C1" w:themeColor="hyperlink"/>
      <w:u w:val="single"/>
    </w:rPr>
  </w:style>
  <w:style w:type="character" w:styleId="UnresolvedMention">
    <w:name w:val="Unresolved Mention"/>
    <w:basedOn w:val="DefaultParagraphFont"/>
    <w:uiPriority w:val="99"/>
    <w:semiHidden/>
    <w:unhideWhenUsed/>
    <w:rsid w:val="00C27142"/>
    <w:rPr>
      <w:color w:val="605E5C"/>
      <w:shd w:val="clear" w:color="auto" w:fill="E1DFDD"/>
    </w:rPr>
  </w:style>
  <w:style w:type="character" w:styleId="FollowedHyperlink">
    <w:name w:val="FollowedHyperlink"/>
    <w:basedOn w:val="DefaultParagraphFont"/>
    <w:uiPriority w:val="99"/>
    <w:semiHidden/>
    <w:unhideWhenUsed/>
    <w:rsid w:val="00C27142"/>
    <w:rPr>
      <w:color w:val="954F72" w:themeColor="followedHyperlink"/>
      <w:u w:val="single"/>
    </w:rPr>
  </w:style>
  <w:style w:type="paragraph" w:styleId="ListParagraph">
    <w:name w:val="List Paragraph"/>
    <w:basedOn w:val="Normal"/>
    <w:uiPriority w:val="34"/>
    <w:qFormat/>
    <w:rsid w:val="00E44AA5"/>
    <w:pPr>
      <w:ind w:left="720"/>
      <w:contextualSpacing/>
    </w:pPr>
  </w:style>
  <w:style w:type="paragraph" w:styleId="FootnoteText">
    <w:name w:val="footnote text"/>
    <w:basedOn w:val="Normal"/>
    <w:link w:val="FootnoteTextChar"/>
    <w:uiPriority w:val="99"/>
    <w:semiHidden/>
    <w:unhideWhenUsed/>
    <w:rsid w:val="004F16B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4F16B4"/>
    <w:rPr>
      <w:sz w:val="20"/>
      <w:szCs w:val="20"/>
      <w:lang w:val="en-US"/>
    </w:rPr>
  </w:style>
  <w:style w:type="character" w:styleId="FootnoteReference">
    <w:name w:val="footnote reference"/>
    <w:basedOn w:val="DefaultParagraphFont"/>
    <w:uiPriority w:val="99"/>
    <w:semiHidden/>
    <w:unhideWhenUsed/>
    <w:rsid w:val="004F16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76268">
      <w:bodyDiv w:val="1"/>
      <w:marLeft w:val="0"/>
      <w:marRight w:val="0"/>
      <w:marTop w:val="0"/>
      <w:marBottom w:val="0"/>
      <w:divBdr>
        <w:top w:val="none" w:sz="0" w:space="0" w:color="auto"/>
        <w:left w:val="none" w:sz="0" w:space="0" w:color="auto"/>
        <w:bottom w:val="none" w:sz="0" w:space="0" w:color="auto"/>
        <w:right w:val="none" w:sz="0" w:space="0" w:color="auto"/>
      </w:divBdr>
    </w:div>
    <w:div w:id="483548679">
      <w:bodyDiv w:val="1"/>
      <w:marLeft w:val="0"/>
      <w:marRight w:val="0"/>
      <w:marTop w:val="0"/>
      <w:marBottom w:val="0"/>
      <w:divBdr>
        <w:top w:val="none" w:sz="0" w:space="0" w:color="auto"/>
        <w:left w:val="none" w:sz="0" w:space="0" w:color="auto"/>
        <w:bottom w:val="none" w:sz="0" w:space="0" w:color="auto"/>
        <w:right w:val="none" w:sz="0" w:space="0" w:color="auto"/>
      </w:divBdr>
    </w:div>
    <w:div w:id="1199010484">
      <w:bodyDiv w:val="1"/>
      <w:marLeft w:val="0"/>
      <w:marRight w:val="0"/>
      <w:marTop w:val="0"/>
      <w:marBottom w:val="0"/>
      <w:divBdr>
        <w:top w:val="none" w:sz="0" w:space="0" w:color="auto"/>
        <w:left w:val="none" w:sz="0" w:space="0" w:color="auto"/>
        <w:bottom w:val="none" w:sz="0" w:space="0" w:color="auto"/>
        <w:right w:val="none" w:sz="0" w:space="0" w:color="auto"/>
      </w:divBdr>
    </w:div>
    <w:div w:id="1979727060">
      <w:bodyDiv w:val="1"/>
      <w:marLeft w:val="0"/>
      <w:marRight w:val="0"/>
      <w:marTop w:val="0"/>
      <w:marBottom w:val="0"/>
      <w:divBdr>
        <w:top w:val="none" w:sz="0" w:space="0" w:color="auto"/>
        <w:left w:val="none" w:sz="0" w:space="0" w:color="auto"/>
        <w:bottom w:val="none" w:sz="0" w:space="0" w:color="auto"/>
        <w:right w:val="none" w:sz="0" w:space="0" w:color="auto"/>
      </w:divBdr>
    </w:div>
    <w:div w:id="2041319824">
      <w:bodyDiv w:val="1"/>
      <w:marLeft w:val="0"/>
      <w:marRight w:val="0"/>
      <w:marTop w:val="0"/>
      <w:marBottom w:val="0"/>
      <w:divBdr>
        <w:top w:val="none" w:sz="0" w:space="0" w:color="auto"/>
        <w:left w:val="none" w:sz="0" w:space="0" w:color="auto"/>
        <w:bottom w:val="none" w:sz="0" w:space="0" w:color="auto"/>
        <w:right w:val="none" w:sz="0" w:space="0" w:color="auto"/>
      </w:divBdr>
    </w:div>
    <w:div w:id="208634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aa.gov.lv" TargetMode="External"/><Relationship Id="rId5" Type="http://schemas.openxmlformats.org/officeDocument/2006/relationships/webSettings" Target="webSettings.xml"/><Relationship Id="rId10" Type="http://schemas.openxmlformats.org/officeDocument/2006/relationships/hyperlink" Target="mailto:pasts@kp.gov.lv" TargetMode="Externa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C2D88-999F-4D85-898F-5874B4FA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3012</Words>
  <Characters>1718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Intars Eglītis</cp:lastModifiedBy>
  <cp:revision>2</cp:revision>
  <dcterms:created xsi:type="dcterms:W3CDTF">2021-10-13T08:01:00Z</dcterms:created>
  <dcterms:modified xsi:type="dcterms:W3CDTF">2021-10-13T08:01:00Z</dcterms:modified>
</cp:coreProperties>
</file>