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Attīstības sadarbības politikas plānu 2024.–2027. gadam, ņemot vērā, skaidrojumu par to, ka tajā iekļautās darbības strukturētas atbilstoši sešiem Attīstības sadarbības politikas pamatnostādņu 2021.-2027. gadam rīcības virzieniem un tajos ietvertajiem uzdevumiem. Vēršam uzmanību, ka minētajos dokumentos konstatējamas formulējumu atšķirības, piemēram, 2.1. uzdevuma formulējumā vienā dokumentā ietverta atsauce "(skat. Pamatnostādņu 1.2. apakšnodaļu)", bet otrā uz 2.2.apakšnodaļu. Nepieciešamības gadījumā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Attīstības sadarbības politikas plāns 2024.–2027. gadam atbilstoši juridiskās tehnikas prasībām, ievērojot, ka saīsinājumus piesaka pirmajā vietā juridiskajā tekstā, kur lietots attiecīgais saīsināmais jēdziens vai termins, konkrētajā gadījumā "Izmantoto saīsinājumu sarakstā". Tāpat pieteiktie saīsinājumi konsekventi lietojami tālāk dokumenta tekstā. Minētais attiecas, piemēram, uz terminu "Eiropas Komisija" un tā saīsinājumu "EK", terminu "Eiropas Savienība" un saīsinājumu "ES", terminu "Centrālā finanšu un līgumu aģentūra" un tā saīsinājumu "aģentūra", saīsinājumu "Dienaskārtības 2030", "UNESCO LNK", "IDA", "INTOSAI", "IDI", "ĀM"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Attīstības sadarbības politikas plānā 2024.–2027. gadam lietoto formulējumu "un/vai", izvērtējot, vai tas nav aizstājams tikai ar saikli "un" vai saikli "vai", ņemot vērā, ka saiklis „un” ir kumulatīvs nosacījums, bet saiklis „vai” alternatīvs nosacījums. Tāpat arī simbola „/” lietojumu, nepieciešamības gadījumā to aizstājot ar saikli „un” vai saikli „vai”, jo no simbola "/" lietojuma nav skaidrs, vai ar to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27.11.2023.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27.11.2023.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