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Krimināllikuma spēkā stāšanās un piemērošanas kārtību”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13.12.2023.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13.12.2023.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