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611 "Valsts bērnu tiesību aizsardzības inspekcijas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Inspekcijai ir šādas funkcijas un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aktuāls jautājums par datu aizsardzību (Bāriņtiesu likuma 16.panta grozījumiem, ar mērķi precizēt bāriņtiesu apstrādājamo datu apjomu un nolūkus), iespējams, ka būtu lietderīgi arī Valsts bērnu tiesību aizsardzības inspekcijas (VBTAI) nolikumā precizēt, kurus datus, no kā un kādos gadījumos VBTAI var pieprasīt un apstrādāt, jo arī VBTAI nolikumā tiesības pieprasīt informāciju no jebkuras personas un iestādes ir formulētas pat plašāk nekā bāriņtiesām Bāriņtiesu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17.01.2023.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17.01.2023.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Atzinumi_22-TA-2713.docx</dc:title>
</cp:coreProperties>
</file>

<file path=docProps/custom.xml><?xml version="1.0" encoding="utf-8"?>
<Properties xmlns="http://schemas.openxmlformats.org/officeDocument/2006/custom-properties" xmlns:vt="http://schemas.openxmlformats.org/officeDocument/2006/docPropsVTypes"/>
</file>