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25-TA-2357: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5. novembra noteikumos Nr. 701 "Modernizācijas fonda finansēto projektu atklāta konkursa "Energoefektivitātes paaugstināšana transporta sektorā – atbalsts elektromobiļu un to uzlādes infrastruktūras ieviešanai"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5.sadaļu ar informāciju, ka Klimata un enerģētikas ministrija 20 darba dienu laikā pēc grozījumu, kas izriet no Komisijas regulas Nr.651/2014 nosacījumiem, spēkā stāšanās, nosūtīs kopsavilkuma informāciju Eiropas Komisijai, izmantojot SANI 2 sistēmu, par plānotajām izmaiņām (t.sk., termiņa pagarinājumu, jo šobrīd Eiropas Komisijai lieta SA.118933 ir paziņota līdz 31.12.2025). Papildus skaidrojam, ka programmā attiecībā uz atbalstu, kas  piešķirts saskaņā ar Komisijas regulas Nr.651/2014 nosacījumiem, kopš 31.12.2025. ir iestājies programmas pārrāvums un atbalstu programmas ietvaros no 01.01.2026. līdz šo grozījumu spēkā stāšanās sniegt nevar.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Modernizācijas fonda finansēto projektu atklāta konkursa "Energoefektivitātes paaugstināšana transporta sektorā – atbalsts elektromobiļu un to uzlādes infrastruktūras ieviešanai" nolikums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1.punkts paredz izteikt noteikumu nosaukumu jaunā redakcijā, bet salīdzinot to ar spēkā esošo nosaukumu, izmaiņu tajā nav. Lūdzam pārskatīt un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w:t>
            </w:r>
            <w:r w:rsidR="00000000" w:rsidRPr="00000000" w:rsidDel="00000000">
              <w:rPr>
                <w:rtl w:val="0"/>
              </w:rPr>
              <w:t xml:space="preserve">"Par piesārņojumu" 32.</w:t>
            </w:r>
            <w:r w:rsidR="00000000" w:rsidRPr="00000000" w:rsidDel="00000000">
              <w:rPr>
                <w:vertAlign w:val="superscript"/>
                <w:rtl w:val="0"/>
              </w:rPr>
              <w:t xml:space="preserve">13</w:t>
            </w:r>
            <w:r w:rsidR="00000000" w:rsidRPr="00000000" w:rsidDel="00000000">
              <w:rPr>
                <w:rtl w:val="0"/>
              </w:rPr>
              <w:t xml:space="preserve"> panta </w:t>
            </w:r>
            <w:r w:rsidR="00000000" w:rsidRPr="00000000" w:rsidDel="00000000">
              <w:rPr>
                <w:rtl w:val="0"/>
              </w:rPr>
              <w:t xml:space="preserve">ceturto daļu </w:t>
            </w:r>
            <w:r w:rsidR="00000000" w:rsidRPr="00000000" w:rsidDel="00000000">
              <w:rPr>
                <w:rtl w:val="0"/>
              </w:rPr>
              <w:t xml:space="preserve">"Klimatnoturības un ekonomiskās ilgtspējas likuma" 18. panta</w:t>
            </w:r>
            <w:r w:rsidR="00000000" w:rsidRPr="00000000" w:rsidDel="00000000">
              <w:rPr>
                <w:rtl w:val="0"/>
              </w:rPr>
              <w:t xml:space="preserve"> </w:t>
            </w:r>
            <w:r w:rsidR="00000000" w:rsidRPr="00000000" w:rsidDel="00000000">
              <w:rPr>
                <w:rtl w:val="0"/>
              </w:rPr>
              <w:t xml:space="preserve">piekto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2.punkts paredz precizēt tiesību akta izdošanas pamatojumu, papildinot to ar norādi uz Klimatnoturības un ekonomiskās ilgtspējas likumu, vienlaikus saglabājot norādi uz likumu “Par piesārņojumu”, tomēr vēršam uzmanību, ka likumā “Par piesārņojumu” pie V</w:t>
            </w:r>
            <w:r w:rsidR="00000000" w:rsidRPr="00000000" w:rsidDel="00000000">
              <w:rPr>
                <w:vertAlign w:val="superscript"/>
                <w:rtl w:val="0"/>
              </w:rPr>
              <w:t xml:space="preserve">3</w:t>
            </w:r>
            <w:r w:rsidR="00000000" w:rsidRPr="00000000" w:rsidDel="00000000">
              <w:rPr>
                <w:rtl w:val="0"/>
              </w:rPr>
              <w:t xml:space="preserve"> nodaļas “Modernizācijas fonds” ir atruna, ka nodaļa zaudēs spēku vienlaikus ar Ekonomiskās ilgtspējas likuma spēkā stāšanos, kā tas noteikts arī pārejas noteikumu 83. punktā, savukārt Klimatnoturības un ekonomiskās ilgtspējas likuma pārejas noteikumu 14.punktā norādīts, ka līdz attiecīgu grozījumu izdarīšanai citos normatīvajos aktos ar Ekonomiskās ilgtspējas likumu saprot Klimatnoturības un ekonomiskās ilgtspējas likumu. Lūdzam izvērtēt, vai minētās normas nenozīmē, ka tiesību akta izdošanas pamatojumā jāiekļauj atsauce tikai uz Klimatnoturības un ekonomiskās ilgtspējas likuma 18. panta piekto daļu, un attiecīgi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vismaz četrus gadus pēc projekta īstenošanas termiņa beigām vai kamēr ar elektromobili nobraukts vismaz 41 600 km (no tā reģistrācijas brīža finansējuma saņēmēja īpašumā vai turējumā), ja tas tiek sasniegts mazāk nekā četros gados - konkursa trešās kārtas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nesamazināt nepieciešamā nobraukuma vajadzību vien līdz 41 600 km. Saprotam, ka trešajā kārtā ir plānots samazināt dažādas prasības, lai atbalsta programma kļūtu pieejamāka un veicinātu pieprasīju pēc tās, taču esošā prasība nobraukumam ir pat mazāka nekā līdzīgas atbalsta programmas īstenošanā privātpersonām EKII ietvaros. Tas rada šaubas par elektromobiļa nozīmīgumu uzņēmuma saimnieciskajā darbībā un ievērojamais samazinājums nobraukuma prasībā rada lielus riskus, ka pasākuma efektivitāte būtiski kritīsies. Līdz ar to, ka ir samazinātas arī citas prasības, kas palielinās pieprasījumu pēc šīs atbalsta programmas, ierobežotā finansējuma dēļ pastāv risks, ka atbalstu nesaņems potenciālie programmas dalībnieki, kuri varētu nodrošināt augstāku nobraukumu, tādējādi arī šī pasākuma efektivitāti. Ja pieprasījums būtiski pārsniegs piedāvājumu, tas norādīs uz to, ka publiskais finansējums attiecīgajā atbalsta programmā varēja tikt izmantots efektīvāk vai nu samazinot atbalsta apmērus, vai palielinot nobraukuma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Edvards Cīrulis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Piešķirot </w:t>
            </w:r>
            <w:r w:rsidR="00000000" w:rsidRPr="00000000" w:rsidDel="00000000">
              <w:rPr>
                <w:i w:val="1"/>
                <w:rtl w:val="0"/>
              </w:rPr>
              <w:t xml:space="preserve">de minimis </w:t>
            </w:r>
            <w:r w:rsidR="00000000" w:rsidRPr="00000000" w:rsidDel="00000000">
              <w:rPr>
                <w:rtl w:val="0"/>
              </w:rPr>
              <w:t xml:space="preserve">atbalstu, pārbauda, vai plānotais </w:t>
            </w:r>
            <w:r w:rsidR="00000000" w:rsidRPr="00000000" w:rsidDel="00000000">
              <w:rPr>
                <w:i w:val="1"/>
                <w:rtl w:val="0"/>
              </w:rPr>
              <w:t xml:space="preserve">de minimis </w:t>
            </w:r>
            <w:r w:rsidR="00000000" w:rsidRPr="00000000" w:rsidDel="00000000">
              <w:rPr>
                <w:rtl w:val="0"/>
              </w:rPr>
              <w:t xml:space="preserve">atbalsts kopā ar iepriekšējos trijos gados, skaitot no atbalsta piešķiršanas dienas, piešķirto </w:t>
            </w:r>
            <w:r w:rsidR="00000000" w:rsidRPr="00000000" w:rsidDel="00000000">
              <w:rPr>
                <w:i w:val="1"/>
                <w:rtl w:val="0"/>
              </w:rPr>
              <w:t xml:space="preserve">de minimis </w:t>
            </w:r>
            <w:r w:rsidR="00000000" w:rsidRPr="00000000" w:rsidDel="00000000">
              <w:rPr>
                <w:rtl w:val="0"/>
              </w:rPr>
              <w:t xml:space="preserve">atbalstu viena vienota uzņēmuma līmenī nepārsniedz regulas Nr. </w:t>
            </w:r>
            <w:r w:rsidR="00000000" w:rsidRPr="00000000" w:rsidDel="00000000">
              <w:rPr>
                <w:rtl w:val="0"/>
              </w:rPr>
              <w:t xml:space="preserve">2023/2831</w:t>
            </w:r>
            <w:r w:rsidR="00000000" w:rsidRPr="00000000" w:rsidDel="00000000">
              <w:rPr>
                <w:rtl w:val="0"/>
              </w:rPr>
              <w:t xml:space="preserve"> 3. panta 2. punktā noteikto maksimālo </w:t>
            </w:r>
            <w:r w:rsidR="00000000" w:rsidRPr="00000000" w:rsidDel="00000000">
              <w:rPr>
                <w:i w:val="1"/>
                <w:rtl w:val="0"/>
              </w:rPr>
              <w:t xml:space="preserve">de minimis</w:t>
            </w:r>
            <w:r w:rsidR="00000000" w:rsidRPr="00000000" w:rsidDel="00000000">
              <w:rPr>
                <w:rtl w:val="0"/>
              </w:rPr>
              <w:t xml:space="preserve"> atbalsta apmēru. Viens vienots uzņēmums ir uzņēmums, kas atbilst regulas Nr. </w:t>
            </w:r>
            <w:r w:rsidR="00000000" w:rsidRPr="00000000" w:rsidDel="00000000">
              <w:rPr>
                <w:rtl w:val="0"/>
              </w:rPr>
              <w:t xml:space="preserve">2023/2831</w:t>
            </w:r>
            <w:r w:rsidR="00000000" w:rsidRPr="00000000" w:rsidDel="00000000">
              <w:rPr>
                <w:rtl w:val="0"/>
              </w:rPr>
              <w:t xml:space="preserve"> 2. panta 2.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de minimis nosacījumi ir jāvērtē uz atbalsta piešķiršanas brīdi, lūdzam noteikumus papildināt ar normu, piem., šādā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investīciju fonds veic atbalsta pretendenta izvērtēšanu atbilstoši Komisijas regulas Nr.2023/2831 nosacījumiem uz atbalsta piešķiršanas brīdi.”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25-TA-2357</w:t>
    </w:r>
    <w:r>
      <w:br/>
    </w:r>
    <w:r w:rsidR="00000000" w:rsidRPr="00000000" w:rsidDel="00000000">
      <w:rPr>
        <w:rtl w:val="0"/>
      </w:rPr>
      <w:t xml:space="preserve">Izdrukāts 30.03.2026. 15.53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25-TA-2357</w:t>
    </w:r>
    <w:r>
      <w:br/>
    </w:r>
    <w:r w:rsidR="00000000" w:rsidRPr="00000000" w:rsidDel="00000000">
      <w:rPr>
        <w:rtl w:val="0"/>
      </w:rPr>
      <w:t xml:space="preserve">Izdrukāts 30.03.2026. 15.53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Atzinumi_25-TA-2357.docx</dc:title>
</cp:coreProperties>
</file>

<file path=docProps/custom.xml><?xml version="1.0" encoding="utf-8"?>
<Properties xmlns="http://schemas.openxmlformats.org/officeDocument/2006/custom-properties" xmlns:vt="http://schemas.openxmlformats.org/officeDocument/2006/docPropsVTypes"/>
</file>