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Virszemes ūdensobjektu un ostu akvatoriju tīrīšanas un padziļināšanas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uztur iepriekš izteikto iebildumu par nepieciešamību veikt tiesību aktā iekļauto informācijas sniegšanas pienākumu un atbilstības izmaksu esamības vērtējumu un atbilstoši vērtējumam veikt administratīvo izmaksu un/vai atbilstības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nav ietverta informācija par veikto informācijas sniegšanas pienākumu un atbilstības izmaksu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anotācijas 2.1. apakšpunktā ietverto informāciju, ka ar veiktajām izmaiņām fiziskām un juridiskām personām turpmāk nebūs nepieciešams saņemt VVD tehniskos noteikumus, ir secināms, ka turpmāk nav jāsniedz pieteikums tehnisko noteikumu saņemšanai. Papildus minētajam ir norādīts, ka būs jāievēro normatīvajos aktos izvirzītās prasības pirms tīrīšanas darbu uzsākšanas un to veikšanas laikā, ar ko ir secināms, ka izmainās atbilstību prasību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tiesību akts paredz, ka ar izmaiņām samazinās informācijas sniegšanas pienākumi vai izmainās atbilstību prasības, ir jānosaka administratīvo izmaksu un/vai atbilstības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lūdzu izmantojiet metodikā administratīvo izmaksu monetārā novērtējuma veikšanā esošo informāciju (22.-25. lpp.), kas pieejama Vadlīnijās tiesību akta sākotnējās ietekmes novērtēšanai un novērtējuma ziņojuma sagatavošanai vienotajā TAP portālā (pieejamas Ministru kabineta tīmkeļvietnē - https://www.mk.gov.lv/lv/media/16905/download?attachment).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aprēķina skaidrojumu ar atsaucēm uz noteikumu punktiem, kas nosaka/noteica informācijas sniegšanas pienākumus.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novērtējumā jāiekļauj norāde, kuri tiesību akta panti vai punkti (panta daļas vai apakšpunkti) ietver informācijas sniegšanas pienākumu, kuram tika aprēķinātas administratīvās izmaksas saskaņā ar vadlīnijās “Vadlīnijās tiesību akta sākotnējās ietekmes novērtēšanai un novērtējuma ziņojuma sagatavošanai vienotajā TAP portālā”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16.07.2025. 19.56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16.07.2025. 19.56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Atzinumi_24-TA-521.docx</dc:title>
</cp:coreProperties>
</file>

<file path=docProps/custom.xml><?xml version="1.0" encoding="utf-8"?>
<Properties xmlns="http://schemas.openxmlformats.org/officeDocument/2006/custom-properties" xmlns:vt="http://schemas.openxmlformats.org/officeDocument/2006/docPropsVTypes"/>
</file>