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735 075 euro gadā , ko Vides aizsardzības un reģionālās attīstības ministrijai pieprasīt Ministru kabinetā likumprojekta par valsts budžetu kārtējam gadam un vidēja termiņa budžeta ietvaru sagatavošanas un izskatīšanas procesā kopā ar visu ministriju un centrālo valsts iestāžu iesniegtajiem prioritāro pasākumu pieteikumiem atbilstoši valsts budžeta finansiālajām iespējām pēc Projekta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3.sadaļas 6.punktā norādīto informāciju, ka jaunas amata vietas netiks veidotas, tad plānoto finansējumu projekta rezultātu uzturēšanas izmaksām varēs pieprasīt normatīvajos aktos noteiktajā kārtībā, ievērojot Likuma par budžetu un finanšu vadību 9.</w:t>
            </w:r>
            <w:r w:rsidR="00000000" w:rsidRPr="00000000" w:rsidDel="00000000">
              <w:rPr>
                <w:vertAlign w:val="superscript"/>
                <w:rtl w:val="0"/>
              </w:rPr>
              <w:t xml:space="preserve">1</w:t>
            </w:r>
            <w:r w:rsidR="00000000" w:rsidRPr="00000000" w:rsidDel="00000000">
              <w:rPr>
                <w:rtl w:val="0"/>
              </w:rPr>
              <w:t xml:space="preserve"> panta otrajā daļā noteikto. Ņemot vērā iepriekšminēto, lūdzam atbilstoši precizēt MK rīkojuma 5.punkta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