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2.2.1. specifiskā atbalsta mērķa “Veicināt ilgtspējīgu ūdenssaimniecību”  2.2.1.1. pasākuma “Notekūdeņu un to dūņu apsaimniekošanas sistēmas attīstība piesārņojuma samazināšanai”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Atlases kārtas ietvaros Eiropas Reģionālā attīstības fonda finansējuma atbalsta intensitāte nepārsniedz 65 procentus no kopējām attiecināmajām izmaksām un nacionālā līdzfinansējuma apmērs, ko veido privātais finansējums, ir vismaz 35 procenti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11.punktā atrunāts, ka ERAF līdzfinansējuma likme nepārsniegs 65%, privātais finansējums vismaz 35%. Saskaņā ar noteikumu 37.punktu projekta īstenošanai avansa un starpposma maksājumu kopsumma nepārsniedz 90% no projektam piešķirtā ERAF finansējuma, attiecīgi finansējuma saņēmējs projekta īstenošanai nodrošina līdzekļus arī noslēguma maksājuma priekšfinansēšanai 10% no projektam piešķirtā ERAF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saņēmējs ir  sabiedrisko ūdenssaimniecības pakalpojumu sniedzējs, kas atbilstoši Pašvaldību likumam organizē ūdenssaimniecības pakalpojumus, </w:t>
            </w:r>
            <w:r w:rsidR="00000000" w:rsidRPr="00000000" w:rsidDel="00000000">
              <w:rPr>
                <w:b w:val="1"/>
                <w:rtl w:val="0"/>
              </w:rPr>
              <w:t xml:space="preserve">ierosinām ERAF finansējuma atbalsta intensitāti noteikt 85 procentu apmērā. </w:t>
            </w:r>
            <w:r w:rsidR="00000000" w:rsidRPr="00000000" w:rsidDel="00000000">
              <w:rPr>
                <w:rtl w:val="0"/>
              </w:rPr>
              <w:t xml:space="preserve">Saskaņā ar Pašvaldību likumu ūdenssaimniecības pakalpojumu organizēšana ir katras pašvaldības autonomā funkcija, kā arī komunālo notekūdeņu attīrīšana ir noteikta ES Direktīvā 91/271/EEK,</w:t>
            </w:r>
            <w:r w:rsidR="00000000" w:rsidRPr="00000000" w:rsidDel="00000000">
              <w:rPr>
                <w:b w:val="1"/>
                <w:rtl w:val="0"/>
              </w:rPr>
              <w:t xml:space="preserve"> līdz ar to pašvaldības kapitālsabiedrības darbība balstās uz normatīvajiem aktiem un tās primārais mērķis nav peļņas gūšana.</w:t>
            </w:r>
            <w:r w:rsidR="00000000" w:rsidRPr="00000000" w:rsidDel="00000000">
              <w:rPr>
                <w:rtl w:val="0"/>
              </w:rPr>
              <w:t xml:space="preserve"> Savukārt, lai pieņemtu lēmumu par atbalstu projektiem ar ERAF atbalsta likmi 65 procentu apmērā, pašvaldībai būs rūpīgi jāvērtē to finansiālā ietekme gan uz pašvaldības, gan uz pašvaldības kapitālsabiedrības budžetu. Ņemot vērā esošo ekonomisko situāciju, plānotais samazinātais ERAF atbalsts negatīvi ietekmēs pašvaldību budžetu un radīs papildus finansiālo slogu pašvaldību kapitālsabiedrībām, tā samazinot to iespējas attīstīties un izpildīt Notekūdeņu apsaimniekošanas investīciju plānā 2021. – 2027.gadam noteiktās darbības par centralizēto ūdensapgādes un kanalizācijas tīklu rekonstrukciju.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ierosinām 11.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“Atlases kārtas ietvaros Eiropas Reģionālā attīstības fonda finansējuma atbalsta intensitāte </w:t>
            </w:r>
            <w:r w:rsidR="00000000" w:rsidRPr="00000000" w:rsidDel="00000000">
              <w:rPr>
                <w:b w:val="1"/>
                <w:rtl w:val="0"/>
              </w:rPr>
              <w:t xml:space="preserve">nepārsniedz 85 procentus </w:t>
            </w:r>
            <w:r w:rsidR="00000000" w:rsidRPr="00000000" w:rsidDel="00000000">
              <w:rPr>
                <w:rtl w:val="0"/>
              </w:rPr>
              <w:t xml:space="preserve">no kopējām attiecināmajām izmaksām un nacionālā līdzfinansējuma apmērs, ko veido privātais finansējums, ir vismaz 15 procenti no projekta kopējā attiecināmā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23-TA-3286</w:t>
    </w:r>
    <w:r>
      <w:br/>
    </w:r>
    <w:r w:rsidR="00000000" w:rsidRPr="00000000" w:rsidDel="00000000">
      <w:rPr>
        <w:rtl w:val="0"/>
      </w:rPr>
      <w:t xml:space="preserve">Izdrukāts 25.03.2024.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23-TA-3286</w:t>
    </w:r>
    <w:r>
      <w:br/>
    </w:r>
    <w:r w:rsidR="00000000" w:rsidRPr="00000000" w:rsidDel="00000000">
      <w:rPr>
        <w:rtl w:val="0"/>
      </w:rPr>
      <w:t xml:space="preserve">Izdrukāts 25.03.2024.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Atzinumi_23-TA-3286.docx</dc:title>
</cp:coreProperties>
</file>

<file path=docProps/custom.xml><?xml version="1.0" encoding="utf-8"?>
<Properties xmlns="http://schemas.openxmlformats.org/officeDocument/2006/custom-properties" xmlns:vt="http://schemas.openxmlformats.org/officeDocument/2006/docPropsVTypes"/>
</file>