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1.2.3.4. pasākuma ietvaros finansējums pieejams sīkajiem (mikro), mazajiem un vidējiem, mazajiem vidējās kapitalizācijas un vidējās kapitalizācijas saimnieciskās darbības veicējiem.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anotācijā ietvertais skaidrojums par nepieciešamību novērst nevienlīdzīgas iespējas finansēt mazos, vidējos un lielos uzņēmumus. Vēršam uzmanību, ka punktā nav minēti lielie uzņēmumi. Turklāt lūdzam precizēt, kādēļ attiecīgajā formulējumā termins “garantija” ir aizstāts ar terminu “finansējums”, ņemot vērā, ka 1.2.3.4. pasākuma "Garantijas, portfeļgarantijas pilna cikla uzņēmējdarbībai" ietvaros atbalsts tiek sniegts garantiju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paredzēts programmas finansējuma palielinājums par 8 000 000 euro. Gadījumā, ja programmas budžeta palielinājums ir saistīts ar atbalsta piešķiršanu saskaņā ar Komisijas regulu Nr.651/2014 (ievērojot </w:t>
            </w:r>
            <w:r w:rsidR="00000000" w:rsidRPr="00000000" w:rsidDel="00000000">
              <w:rPr>
                <w:i w:val="1"/>
                <w:rtl w:val="0"/>
              </w:rPr>
              <w:t xml:space="preserve">Komisijas 2004.gada 21.aprīļa regulas (EK) Nr.794/2004, ar ko īsteno Padomes Regulu (EK) Nr. 659/1999, ar kuru nosaka sīki izstrādātus noteikumus EK Līguma 93. panta piemērošanai</w:t>
            </w:r>
            <w:r w:rsidR="00000000" w:rsidRPr="00000000" w:rsidDel="00000000">
              <w:rPr>
                <w:rtl w:val="0"/>
              </w:rPr>
              <w:t xml:space="preserve">, 4. panta 2. punktā noteikto, ja pieejamais kopējais attiecināmais finansējums tiek palielināts vairāk kā par 20 % ar šādām turpmāk minētām izmaiņām esošā atbalstā paziņo, izmantojot vienkāršoto paziņojuma veidlapu) un šis finansējums nav skaidri nodalāms no citiem atbalsta piešķiršanas mērķiem šīs programmas ietvaros, tad Ekonomikas ministrijai ir jāiesniedz kopsavilkuma informācija Eiropas Komisijai. Gadījumā, ja iepriekš minētais izpildās, lūdzam papildināt anotācijas 5.3.sadaļu ar informāciju, ka Ekonomikas ministrija 20 darba dienu laikā pēc noteikumu projekta spēkā stāšanās spēkā, nosūtīs kopsavilkuma informāciju Eiropas Komisijai, izmantojot SANI 2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Garantijas, kas šo noteikumu ietvaros tiek piešķirtas militāriem projektiem drošības un  aizsardzības jomā, par ko saņemts Aizsardzības ministrijas atzinums par militārā projekta atbilstību būtiskām valsts drošības interesēm, nav kvalificējamas kā komercdarbības atbalsts, un tām nav jāpiemēro šajos noteikumos ietvertie Komisijas regulas Nr. 2023/2831 vai Komisijas regulas  Nr. 651/2014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viens no mērķiem ir precizēt regulējumu militāro projektu atbalstam drošības un aizsardzības jomā, lai nodrošinātu skaidrāku izpratni par militāru projektu uzraudzības procesu. Skaidrojam, ka, ja atbalsts tiek sniegts militārās jomas produktu, kas saistīts ar ieroču, munīcijas un militāro aprīkojumu, ražošanai un atbilst Eiropas Savienības Kopējā militāro preču sarakstam, kā arī vienlaikus atbilst būtiskām Latvijas valsts drošības interesēm, tikai tādā gadījumā atbalsts nav kvalificējams kā komercdarbības atbalsts. Ņemot vērā iepriekš minēto, lūdzam atbilstoši precizēt, piemēram, noteikumu 5</w:t>
            </w:r>
            <w:r w:rsidR="00000000" w:rsidRPr="00000000" w:rsidDel="00000000">
              <w:rPr>
                <w:vertAlign w:val="superscript"/>
                <w:rtl w:val="0"/>
              </w:rPr>
              <w:t xml:space="preserve">1</w:t>
            </w:r>
            <w:r w:rsidR="00000000" w:rsidRPr="00000000" w:rsidDel="00000000">
              <w:rPr>
                <w:rtl w:val="0"/>
              </w:rPr>
              <w:t xml:space="preserve">. punktu. Kā paraugu redakcijām lūdzam skatīt arī Ministru kabineta 2026. gada 3. februāra noteikumus Nr.48 "Noteikumi par atbalstu projektiem rūpniecisko spēju uzlabošanai", kurā tiek dota definīcija "militārās jomas produktam", sasaistot ar Eiropas Savienības Kopējo militāro preču sarakstu. Vienlaikus lūdzam ar skaidrojumu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Iesniedzot projekta pieteikumu sabiedrībā "Altum" atbalsta saņemšanai militāriem projektiem, tiek iesniegts arī Aizsardzības ministrijas atzinums par militārā projekta atbilstību būtiskām valsts drošības interesēm. Pēc atzinuma saņemšanas par militārā projekta atbilstību būtiskām valsts drošības interesēm, kas saistītas ar ieroču, munīcijas un militārā aprīkojuma ražošanu, to iesniedz sabiedrībā "Altum", kura garantijas pieteikumu vērtē kopā ar saņemto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militāro projektu vērtēšanas metodikas saturu un galvenajiem principiem, pēc kuriem Aizsardzības ministrija sniegs atzinumu par projekta atbilstību būtiskām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26-TA-1256</w:t>
    </w:r>
    <w:r>
      <w:br/>
    </w:r>
    <w:r w:rsidR="00000000" w:rsidRPr="00000000" w:rsidDel="00000000">
      <w:rPr>
        <w:rtl w:val="0"/>
      </w:rPr>
      <w:t xml:space="preserve">Izdrukāts 13.07.2026.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26-TA-1256</w:t>
    </w:r>
    <w:r>
      <w:br/>
    </w:r>
    <w:r w:rsidR="00000000" w:rsidRPr="00000000" w:rsidDel="00000000">
      <w:rPr>
        <w:rtl w:val="0"/>
      </w:rPr>
      <w:t xml:space="preserve">Izdrukāts 13.07.2026.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Atzinumi_26-TA-1256.docx</dc:title>
</cp:coreProperties>
</file>

<file path=docProps/custom.xml><?xml version="1.0" encoding="utf-8"?>
<Properties xmlns="http://schemas.openxmlformats.org/officeDocument/2006/custom-properties" xmlns:vt="http://schemas.openxmlformats.org/officeDocument/2006/docPropsVTypes"/>
</file>