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Dalības kārtība Eiropas Savienības emisijas kvotu tirdzniecības sistēmā ēku, autotransporta un papildu sektoros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Dienests vienu reizi divos gados līdz 1. aprīlim pieprasa no dabas resursu nodokļa maksātājiem informāciju par komersantiem no kuriem tie ir iegādājušies akmeņogles, koksu vai lignītu, kas izmantoti kā kurināmais, un par to ir aprēķināts dabas resursu nodoklis. Saņemto informāciju dienests salīdzina ar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 atļaujas turētāju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66.punktu, pēc vārdiem "par komersantiem" liekot komatu, jo ar vārdiem "no kuriem" tiek uzsākts palīgteikums.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Ja komersants ir izpildījis dienesta noteiktās prasības, dienests nekavējoties informē Valsts ieņēmumu dienestu par prasību izpildi. Saņemot šo informāciju, Valsts ieņēmumu dienests atjauno speciālās atļaujas (licences) darbību vai speciālajā atļaujā (licencē) norādīto darbību ar naftas produktiem vai dabasgāzi, vai darbību ar speciālajā atļaujā (licencē) norādīto akcīzes preču veidu – naftas produkti, kas apturēta saskaņā ar šo noteikumu </w:t>
            </w:r>
            <w:r w:rsidR="00000000" w:rsidRPr="00000000" w:rsidDel="00000000">
              <w:rPr>
                <w:rtl w:val="0"/>
              </w:rPr>
              <w:t xml:space="preserve">72.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Valsts ieņēmum dienesta izsniegtajā speciālajā atļaujā (licencē) apstiprināta noliktavas turētāja darbībai (LV1) pie akcīzes preču veidiem, ar kuriem komersants, atbilstoši licencei ir tiesīgs veikt darbības,   bez akcīzes preču veida “naftas produkti” var būt norādīti arī citi akcīzes preču veidi (piemēram, alkoholiskie dzērieni, tabakas izstrādājumi, bezalkoholiskie dzērieni), savukārt, speciālā atļauja (licence) apstiprināta noliktavas turētāja darbībai ar dabasgāzi  (DAN) paredz tikai darbības ar dabasgāzi, tāpēc, lai būtu nepārprotami skaidrs, kuru licenču vai licencē norādītā akcīzes preču veida darbību  Valsts ieņēmumu dienests atjauno, lūdzam, precizēt noteikumu projekta 73.punkta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komersants ir izpildījis dienesta noteiktās prasības, dienests nekavējoties informē Valsts ieņēmumu dienestu par prasību izpildi. Saņemot šo informāciju, Valsts ieņēmumu dienests atjauno speciālās atļaujas (licences) darbībai ar naftas produktiem vai dabasgāzi darbību vai speciālajā atļaujā (licencē) norādīto darbību ar akcīzes preču veidu – naftas produkti, kas apturēta saskaņā ar šo noteikumu 72.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atbalsta iespējamo informācijas, kas noteikta Transporta enerģijas likuma 21.panta otrajā daļā, nodošanu Valsts vides dienestam, izmantojot Datu izplatīšanas un pārvaldības platformu (DAGR),  vienlaikus vērošot uzmanību, ka datu apmaiņas risinājuma ieviešanai DAGR Valsts ieņēmumu dienestam nepieciešams piešķirt papildu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anotācijas 1.3 sadaļu nosakot, ka datu apmaiņas risinājuma ieviešanai DAGR platformā Valsts ieņēmumu dienestam nepieciešams piešķirt papildu līdzekļus. Ja līdzekļi minētajiem mērķiem netiks nodrošināti, tad datu nodošanu nevarēs realizēt caur DAGR platformu.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svītrot informāciju par 2025.gadu, ievērojot, ka šobrīd ir spēkā likums “Par valsts budžetu 2026. gadam un budžeta ietvaru 2026., 2027. un 2028. gadam”. Vienlaikus, ievērojot anotācijas 1.3. un 7.sadaļā sniegto informāciju par projektā izpildē iesaistītājām institūcijām, lūdzam papildināt minēto sadaļas punktu ar informāciju, ka noteikumu projekta ieviešana, tajā skaitā informācijas apmaiņas nodrošināšana Datu izplatīšanas un pārvaldības platformā (DAGR), tiks nodrošināta to izpildē iesaistīto institūciju esošo līdzekļu ietvaros, kā arī Valsts vides dienesta informācijas sistēmas "TULPE" papildināšana tiks nodrošināta KEM (VVD) esošo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šajā punktā arī sniegt norādi, ka vēl precīzāks ETS2  ieviešanai likuma "Par piesārņojumu" 32.</w:t>
            </w:r>
            <w:r w:rsidR="00000000" w:rsidRPr="00000000" w:rsidDel="00000000">
              <w:rPr>
                <w:vertAlign w:val="superscript"/>
                <w:rtl w:val="0"/>
              </w:rPr>
              <w:t xml:space="preserve">17</w:t>
            </w:r>
            <w:r w:rsidR="00000000" w:rsidRPr="00000000" w:rsidDel="00000000">
              <w:rPr>
                <w:rtl w:val="0"/>
              </w:rPr>
              <w:t xml:space="preserve"> panta izpratnē finansējuma apjoms tiks noteikts, izstrādājot regulējumu par darbībām emisijas vienību reģistrā (25-TA-241), ievērojot izziņā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4.1.sadaļa nav papildināma ar informāciju par regulējumu par darbībām emisijas vienību reģistrā (25-TA-241), attiecīgi arī norādot pilnu tiesību akta projekta nosaukumu un tā virzības stadiju, ievērojot izziņā sniegto skaidrojumu, ka tajā tiks noteikts precīzāks finansējuma apjoms noteikumu projekta īstenošanas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ieņēmumu dienestam ar noteikumu projekta noteikto prasību izpildi radīsies izmaksas par viena pārskata (informācijas par komersantiem, kas iepriekšējā kalendāra gadā realizējuši patēriņam naftas produktus, dabasgāzi vai citus produktus  un to patēriņam realizēto apjomu) sniegšanu Valsts vides dienestam, lūdzam anotācijas 7.2. sadaļā “Administratīvo izmaksu monetārs novērtējums”  norādītās Valsts ieņēmumu dienestam norādītās izmaksas pārcelt uz anotācijas 7.3. sadaļu -  Atbilstības izmaksu monetārs novērtējums, aprēķinot izmaksas, kādas Valsts ieņēmumu dienestam veidosies par viena pārskata sniegšanu Valsts vides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20.02.2026.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20.02.2026.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Atzinumi_24-TA-903.docx</dc:title>
</cp:coreProperties>
</file>

<file path=docProps/custom.xml><?xml version="1.0" encoding="utf-8"?>
<Properties xmlns="http://schemas.openxmlformats.org/officeDocument/2006/custom-properties" xmlns:vt="http://schemas.openxmlformats.org/officeDocument/2006/docPropsVTypes"/>
</file>