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izpratni par izsniedzamo ziņu apjomu no Sodu reģistra, lūdzam izskatīt iespēju projekta sākotnējās ietekmes novērtējuma ziņojumā (anotācijā) norādīt konkrētus Krimināllikuma pantus, ievērojot projekta 49.4.1.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49.4.1. gala labuma guvējs vai persona, kura ir gala labuma guvēja valdes vai padomes loceklis vai prokūrists, vai persona, kura ir pilnvarota pārstāvēt gala labuma guvēju ar filiāli saistītās darbībās,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nepārprotamu izpratni par izsniedzamo ziņu apjomu, lūgums izvērtēt, vai iespējams projekta anotācijā uzskaitīt konkrētus Krimināllikuma pantus ziņām, ko nepieciešams saņemt no Sodu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Klementjeva (IeM IC)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20.06.2024.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20.06.2024.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Atzinumi_23-TA-2405.docx</dc:title>
</cp:coreProperties>
</file>

<file path=docProps/custom.xml><?xml version="1.0" encoding="utf-8"?>
<Properties xmlns="http://schemas.openxmlformats.org/officeDocument/2006/custom-properties" xmlns:vt="http://schemas.openxmlformats.org/officeDocument/2006/docPropsVTypes"/>
</file>