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Pilsonības iegūšanas un zaudēšanas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6.1.10. elektroniskā pasta adrese un tālruņa numurs saziņai;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paredzēt e-adresi kā primāro saziņas kanālu, ja personai tāda ir izveidota (Oficiālās elektroniskās adreses likums, 12. pants).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Pauls Puķītis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papildināt anotāciju ar informāciju, vai informācijas apmaiņai ar citām iestādēm tiks izmantoti valsts pārvaldei izstrādātie koplietošanas elementi (piemēram, VISS koplietošanas komponentes).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Pauls Puķītis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08.12.2022. 23.21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08.12.2022. 23.21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