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īstenošanas vieta ir Latvijas Republikas teritorija.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"Modernizācijas fonda finansēto projektu atklāta konkursa "Atjaunīgo energoresursu izmantošanas veicināšana daudzdzīvokļu ēkās, valsts un pašvaldību ēkās un energokopienās" nolikums" neparedz iespēju piesaistīt finansējumu Latvijas Republikas diplomātisko un konsulāro pārstāvniecību ēku ārvalstīs energoefektivitātes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vieta ir Latvijas Republikas teritorija un Latvijas Republikai piederošie nekustamie īpašumi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Dinsberga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valstij Ārlietu ministrijas personā pieder nekustamie īpašumi ārvalstīs, lūdzam anotācijā norādīt un normatīvajā aktā precizēt, ka projekta īstenošanas vieta ir Latvijas Republikas teritorija un Latvijas Republikai piederošie nekustamie īpašumi ārvalstīs.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Dinsberga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04.07.2025. 08.33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04.07.2025. 08.33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Atzinumi_24-TA-2826.docx</dc:title>
</cp:coreProperties>
</file>

<file path=docProps/custom.xml><?xml version="1.0" encoding="utf-8"?>
<Properties xmlns="http://schemas.openxmlformats.org/officeDocument/2006/custom-properties" xmlns:vt="http://schemas.openxmlformats.org/officeDocument/2006/docPropsVTypes"/>
</file>