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Fizisko personu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reģistra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tomēr projektā nebūtu jānorāda, kad un kā paredzēta ziņu aktualizēšana Fizisko personu reģistrā (kā tas bija norādīts projekta sākotnējā redakcijā), ņemot vērā, ka anotācijā sniegtā informācija nav juridiski saistoša.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panta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kapsētas īpašnieks vai kremācijas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skaidrot ar ko saprotams "kapsētas īpašnieks". Lai gan atbilstoši izziņas 5.punktā norādītajai informācijai jēdziena “kapsētas īpašnieks” skaidrojums būtu veicams likumprojekta “Kapsētu likums” (23-TA-616) ietvaros, uzsverams, ka šī jēdziena izpratne veido ietekmi arī uz šo projektu. Atbilstoši anotācijā ietvertajam, "lai nodrošinātu likumprojekta 1. un 2. pantā noteikto, kapsētas īpašniekam vai kremācijas pakalpojuma sniedzējam tiks nodrošināta iespēja tiešsaistē aktualizēt attiecīgās ziņas par Reģistrā reģistrētu personu". Tāpat arī ir veikts administratīvo izmaksu monetārs novērtējums, aprēķinos ietverot izmaksas par vienošanos slēgšanu par ziņu iekļaušanu Fizisko personu reģistrā ar aptuveni 2 900 subjektiem. Lai būtu izprotams, kādiem subjektiem tiks piešķirtas tiesības iekļaut ziņas Fizisko personu reģistrā un kā attiecīgais subjekts varēs pieteikties šo ziņu iesniegšanai un Pilsonības un migrācijas lietu pārvalde varēs pārliecināties par subjekta atbilstību “kapsētas īpašniekam” un kopumā pārbaudīt sniegto ziņu patiesumu, anotācijā būtu iekļaujams skaidrojums ar ko saprotams "kapsētas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07.10.2024.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07.10.2024.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Atzinumi_24-TA-1972.docx</dc:title>
</cp:coreProperties>
</file>

<file path=docProps/custom.xml><?xml version="1.0" encoding="utf-8"?>
<Properties xmlns="http://schemas.openxmlformats.org/officeDocument/2006/custom-properties" xmlns:vt="http://schemas.openxmlformats.org/officeDocument/2006/docPropsVTypes"/>
</file>