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Atbilstoši regulas 2021/2115 III pielikumā noteiktajam 4. LLVS standartam lauksaimnieks nelieto mēslošanas un augu aizsardzības līdzekļus, izņemot bioloģiskās saimniekošanas praksē atļautos augu aizsardzības līdzekļus, aizsargjoslās (buferjoslās), kas atrodas: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skaidrojumu par projekta 9. punktā jaunā redakcijā izteiktajā Ministru kabineta 2023. gada 18. aprīļa noteikumu Nr. 198 "Tiešo maksājumu piešķiršanas kārtība lauksaimniekiem" (turpmāk - noteikumi) 63. punktā minētajiem bioloģiskās saimniekošanas praksē atļautajiem augu aizsardzības līdzekļiem, aicinām izvērstāk skaidrot, kas ir anotācijā minētais Valsts augu aizsardzības dienesta uzturētais Augu aizsardzības līdzekļu saraksts, kā arī to, vai šis saraksts ir privātpersonām saistošs. Atgādinām, ka privātpersonām ir saistošas ārējos normatīvajos aktos noteiktās prasības. Līdz ar to aicinām izvērtēt šādas atsauces uz "bioloģiskās saimniekošanas praksē atļautajiem" augu aizsardzības līdzekļiem tiesiskumu, ņemot vērā, ka nedrīkst privātpersonām uzlikt par pienākumu ievērot tām juridiski nesaistošus dokumentus. Ja nepieciešams, lūdzam precizēt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63. punkts tiek izteikts jaunā redakcijā (tostarp 63.1. un 63.2. apakšpunkts), un tas netiek papildināts ar jaunu 63.3. apakšpunktu,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 pielikumu jaunā redakcijā izteikts 4. pielikums, papildinot to ar lauksaimnieka apliecinājumu šādā redakcijā: "</w:t>
            </w:r>
            <w:r w:rsidR="00000000" w:rsidRPr="00000000" w:rsidDel="00000000">
              <w:rPr>
                <w:i w:val="1"/>
                <w:rtl w:val="0"/>
              </w:rPr>
              <w:t xml:space="preserve">piekrītu, ka saskaņā ar Grāmatvedības likuma 11.panta 14. daļu rēķins tiks sagatavots un nosūtīts strukturēta elektroniska rēķina formātā (xml) uz e-adresi, (ja tāda izveidota) vai pdf un xml formātā uz norādīto e-pasta adresi</w:t>
            </w:r>
            <w:r w:rsidR="00000000" w:rsidRPr="00000000" w:rsidDel="00000000">
              <w:rPr>
                <w:rtl w:val="0"/>
              </w:rPr>
              <w:t xml:space="preserve">". Lūdzam minēto svītrot vai pamatot šāda papildinājuma atbilstību Grāmatvedības likuma 11. panta četrpadsmitajai daļai, kas ir spēkā no 2025. gada 1. janvāra, un paredz, ka attaisnojuma dokumentu, kuru uzņēmums izsniedz citam Latvijas Republikā reģistrētam uzņēmumam — preces vai pakalpojuma saņēmējam — samaksāšanai (rēķinu), </w:t>
            </w:r>
            <w:r w:rsidR="00000000" w:rsidRPr="00000000" w:rsidDel="00000000">
              <w:rPr>
                <w:u w:val="single"/>
                <w:rtl w:val="0"/>
              </w:rPr>
              <w:t xml:space="preserve">noformē kā strukturētu elektronisko rēķinu</w:t>
            </w:r>
            <w:r w:rsidR="00000000" w:rsidRPr="00000000" w:rsidDel="00000000">
              <w:rPr>
                <w:rtl w:val="0"/>
              </w:rPr>
              <w:t xml:space="preserve">. Attiecīgi strukturēta elektroniska rēķina noformēšana saskaņā ar iepriekš minēto ir obligāta likuma prasība, kurai lauksaimnieks nevar piekrist vai nepiekrist, ja vien nepastāv kāds Grāmatvedības likuma 11. panta sešpadsmitajā daļā paredzētais izņēmuma gadījums, kad var atkāpties no Grāmatvedības likuma 11. panta četrpadsmitajā daļā noteiktās prasības par strukturētu elektronisko rēķinu noformēšanu. Turklāt strukturētam elektroniskam rēķinam ir jāatbilst noteiktam formātam (sk. Grāmatvedības likuma 1. panta 9. punktu). Tāpat norādām, ka šādam informatīvam apliecinājumam nav juridiskas nozīmes, jo ārējā normatīvā akta prasības ir vispārpiemērojamas. Attiecīgi lūdzam papildinājumu svītrot vai kā citādi atbilstoši precizēt pielikumu, attiecīgi arī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25-TA-131</w:t>
    </w:r>
    <w:r>
      <w:br/>
    </w:r>
    <w:r w:rsidR="00000000" w:rsidRPr="00000000" w:rsidDel="00000000">
      <w:rPr>
        <w:rtl w:val="0"/>
      </w:rPr>
      <w:t xml:space="preserve">Izdrukāts 03.03.2025.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25-TA-131</w:t>
    </w:r>
    <w:r>
      <w:br/>
    </w:r>
    <w:r w:rsidR="00000000" w:rsidRPr="00000000" w:rsidDel="00000000">
      <w:rPr>
        <w:rtl w:val="0"/>
      </w:rPr>
      <w:t xml:space="preserve">Izdrukāts 03.03.2025.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Atzinumi_25-TA-131.docx</dc:title>
</cp:coreProperties>
</file>

<file path=docProps/custom.xml><?xml version="1.0" encoding="utf-8"?>
<Properties xmlns="http://schemas.openxmlformats.org/officeDocument/2006/custom-properties" xmlns:vt="http://schemas.openxmlformats.org/officeDocument/2006/docPropsVTypes"/>
</file>