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25-TA-375: Noteikumu projekts (Groza manuāli)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12. aprīļa noteikumos Nr. 207 "Vienkāršu spiedtvertņu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Papildināt Noteikumus ar 10.</w:t>
            </w:r>
            <w:r w:rsidR="00000000" w:rsidRPr="00000000" w:rsidDel="00000000">
              <w:rPr>
                <w:vertAlign w:val="superscript"/>
                <w:rtl w:val="0"/>
              </w:rPr>
              <w:t xml:space="preserve">3</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r w:rsidR="00000000" w:rsidRPr="00000000" w:rsidDel="00000000">
              <w:rPr>
                <w:vertAlign w:val="superscript"/>
                <w:rtl w:val="0"/>
              </w:rPr>
              <w:t xml:space="preserve">3</w:t>
            </w:r>
            <w:r w:rsidR="00000000" w:rsidRPr="00000000" w:rsidDel="00000000">
              <w:rPr>
                <w:rtl w:val="0"/>
              </w:rPr>
              <w:t xml:space="preserve"> Atbilstības prezumpcija un tirgus uzraudzība tvertnēm, kas atzītas par krīzē būtiskām precēm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12</w:t>
            </w:r>
            <w:r w:rsidR="00000000" w:rsidRPr="00000000" w:rsidDel="00000000">
              <w:rPr>
                <w:rtl w:val="0"/>
              </w:rPr>
              <w:t xml:space="preserve"> Tvertnes, kuras Eiropas Komisija ar īstenošanas aktu atzinusi par krīzē būtiskām precēm, uzskaitot piemērojamos standartus vai nosakot kopējas specifikācijas tvertnēm, atbilst šo noteikumu būtiskajām drošuma prasībām, uz kurām attiecas šie standarti, kopējās specifikācijas vai to daļas. Pēc iekšējā tirgus ārkārtas situācijas izbeigšanās ražotājiem vairs nav iespējams paļauties uz atbilstības prezumpciju, ko nodrošina Eiropas Komisijas īstenošanas aktos norādītie standarti vai kopējās specifikācijas.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13</w:t>
            </w:r>
            <w:r w:rsidR="00000000" w:rsidRPr="00000000" w:rsidDel="00000000">
              <w:rPr>
                <w:rtl w:val="0"/>
              </w:rPr>
              <w:t xml:space="preserve">Ja vien nav pietiekama iemesla uzskatīt, ka tvertnes, uz kurām attiecas standarti vai kopējās specifikācijas, kas minētas 108.14 punktā, rada risku cilvēku veselībai vai drošībai, tvertnes, kas atbilst minētajiem standartiem vai kopējām specifikācijām un kas laistas tirgū, uzskata par atbilstošām šo noteikumu būtiskajām drošuma pamatprasībām.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14</w:t>
            </w:r>
            <w:r w:rsidR="00000000" w:rsidRPr="00000000" w:rsidDel="00000000">
              <w:rPr>
                <w:rtl w:val="0"/>
              </w:rPr>
              <w:t xml:space="preserve"> Tirgus uzraudzības iestādes uzraudzību prioritāri veic tām tvertnēm, kas atzītas par krīzē būtisku preci."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Eiropas Komisijas īstenošanas akti var būt arī Eiropas Savienības direktīvas vai lēmumi, savukārt noteikumu projektā pieļaujams atsaukties vienīgi uz tieši piemērojamiem Eiropas Savienības normatīvajiem aktiem - regulām, tādēļ lūdzam izvērtēt un atbilstoši precizēt vai svītrot atsauci uz Eiropas Komisijas īstenošanas aktiem.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pilnveidot skaidrojumu par Eiropas Parlamenta un Padomes 2024. gada 9. oktobra Direktīvā Nr. 2024/2749 ar ko groza Direktīvas 2000/14/EK, 2006/42/EK, 2010/35/ES, 2014/29/ES, 2014/30/ES, 2014/33/ES, 2014/34/ES, 2014/35/ES, 2014/53/ES un 2014/68/ES attiecībā uz iekšējā tirgus ārkārtas situācijas izraisītām atbilstības novērtēšanas, atbilstības prezumpcijas, kopēju specifikāciju pieņemšanas un tirgus uzraudzības ārkārtas procedūrām, ietverto prasību pārņemšanu: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precizēt tabulas B aili, kas aizpildīta acīmredzami nekorekti, jo noteikumu projektā nav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skaidrot, kā pārņemta 4. panta 2. apakšpunkta pirmā daļa (grozītās direktīvas 38.a panta 1.-3. punkts), 4. panta 2. punkta trešā daļa (grozītās direktīvas 38.c panta 4. punktu attiecībā uz citas dalībvalsts kompetentās valsts iestādes atļauju atzīšanas kārtību), 4. panta 2. punkta piektā daļa (grozītās direktīvas 38.e panta 2. 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Papildināt Noteikumus ar 10.</w:t>
            </w:r>
            <w:r w:rsidR="00000000" w:rsidRPr="00000000" w:rsidDel="00000000">
              <w:rPr>
                <w:vertAlign w:val="superscript"/>
                <w:rtl w:val="0"/>
              </w:rPr>
              <w:t xml:space="preserve">2</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r w:rsidR="00000000" w:rsidRPr="00000000" w:rsidDel="00000000">
              <w:rPr>
                <w:vertAlign w:val="superscript"/>
                <w:rtl w:val="0"/>
              </w:rPr>
              <w:t xml:space="preserve">2</w:t>
            </w:r>
            <w:r w:rsidR="00000000" w:rsidRPr="00000000" w:rsidDel="00000000">
              <w:rPr>
                <w:rtl w:val="0"/>
              </w:rPr>
              <w:t xml:space="preserve">  Krīzē būtiskajām precēm pieļaujamā atkāpe attiecībā uz atbilstības novērtēšanas procedūrām, kurās ir iesaistīta paziņotā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4</w:t>
            </w:r>
            <w:r w:rsidR="00000000" w:rsidRPr="00000000" w:rsidDel="00000000">
              <w:rPr>
                <w:rtl w:val="0"/>
              </w:rPr>
              <w:t xml:space="preserve"> Tirgus uzraudzības iestāde pēc pamatota iesaistītās personas pieprasījuma var izsniegt atļauju, ar kuru tirgū var laist tādas tvertnes, kurām nav veiktas šo noteikumu 4. nodaļā minētās atbilstības novērtēšanas procedūras, ja ir apliecināta atbilstība šo noteikumu 2.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5</w:t>
            </w:r>
            <w:r w:rsidR="00000000" w:rsidRPr="00000000" w:rsidDel="00000000">
              <w:rPr>
                <w:rtl w:val="0"/>
              </w:rPr>
              <w:t xml:space="preserve"> Tirgus uzraudzības iestāde nekavējoties informē Eiropas Komisiju un pārējās dalībvalstis par jebkurām atļaujām, kas piešķirtas saskaņā ar šo noteikumu 108.</w:t>
            </w:r>
            <w:r w:rsidR="00000000" w:rsidRPr="00000000" w:rsidDel="00000000">
              <w:rPr>
                <w:vertAlign w:val="superscript"/>
                <w:rtl w:val="0"/>
              </w:rPr>
              <w:t xml:space="preserve">4</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6</w:t>
            </w:r>
            <w:r w:rsidR="00000000" w:rsidRPr="00000000" w:rsidDel="00000000">
              <w:rPr>
                <w:rtl w:val="0"/>
              </w:rPr>
              <w:t xml:space="preserve">  Uz tvertnes, kuru atļauts laist tirgū saskaņā ar 108.</w:t>
            </w:r>
            <w:r w:rsidR="00000000" w:rsidRPr="00000000" w:rsidDel="00000000">
              <w:rPr>
                <w:vertAlign w:val="superscript"/>
                <w:rtl w:val="0"/>
              </w:rPr>
              <w:t xml:space="preserve">4</w:t>
            </w:r>
            <w:r w:rsidR="00000000" w:rsidRPr="00000000" w:rsidDel="00000000">
              <w:rPr>
                <w:rtl w:val="0"/>
              </w:rPr>
              <w:t xml:space="preserve"> punktā minēto atkāpi, norāda, ka tā ir laista tirgū kā “krīzē būtiska prece”. Norādītā informācija ir valsts valodā, tā ir skaidra un saprotama.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7</w:t>
            </w:r>
            <w:r w:rsidR="00000000" w:rsidRPr="00000000" w:rsidDel="00000000">
              <w:rPr>
                <w:rtl w:val="0"/>
              </w:rPr>
              <w:t xml:space="preserve"> Tvertņu ražotāji, kuriem tiek piemērota šo noteikumu 108.</w:t>
            </w:r>
            <w:r w:rsidR="00000000" w:rsidRPr="00000000" w:rsidDel="00000000">
              <w:rPr>
                <w:vertAlign w:val="superscript"/>
                <w:rtl w:val="0"/>
              </w:rPr>
              <w:t xml:space="preserve">4</w:t>
            </w:r>
            <w:r w:rsidR="00000000" w:rsidRPr="00000000" w:rsidDel="00000000">
              <w:rPr>
                <w:rtl w:val="0"/>
              </w:rPr>
              <w:t xml:space="preserve"> punktā minētā atkāpe, izmantojot 1. pielikuma 2. punkta 3.3. apakšpunktā minēto tehnisko dokumentāciju, apliecina, ka attiecīgās tvertnes atbilsts visām šo noteikumu 2.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8</w:t>
            </w:r>
            <w:r w:rsidR="00000000" w:rsidRPr="00000000" w:rsidDel="00000000">
              <w:rPr>
                <w:rtl w:val="0"/>
              </w:rPr>
              <w:t xml:space="preserve"> Tirgus uzraudzības iestāde izsniegtajā atļaujā, kas izdota pamatojoties uz 108.</w:t>
            </w:r>
            <w:r w:rsidR="00000000" w:rsidRPr="00000000" w:rsidDel="00000000">
              <w:rPr>
                <w:vertAlign w:val="superscript"/>
                <w:rtl w:val="0"/>
              </w:rPr>
              <w:t xml:space="preserve">4</w:t>
            </w:r>
            <w:r w:rsidR="00000000" w:rsidRPr="00000000" w:rsidDel="00000000">
              <w:rPr>
                <w:rtl w:val="0"/>
              </w:rPr>
              <w:t xml:space="preserve"> punktu,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8</w:t>
            </w:r>
            <w:r w:rsidR="00000000" w:rsidRPr="00000000" w:rsidDel="00000000">
              <w:rPr>
                <w:rtl w:val="0"/>
              </w:rPr>
              <w:t xml:space="preserve"> 1. procedūru aprakstu, ar kurām pierādīta atbilstība šo noteikumu 2. nodaļā minētajām būtiskajām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 </w:t>
            </w:r>
            <w:r w:rsidR="00000000" w:rsidRPr="00000000" w:rsidDel="00000000">
              <w:rPr>
                <w:vertAlign w:val="superscript"/>
                <w:rtl w:val="0"/>
              </w:rPr>
              <w:t xml:space="preserve">8</w:t>
            </w:r>
            <w:r w:rsidR="00000000" w:rsidRPr="00000000" w:rsidDel="00000000">
              <w:rPr>
                <w:rtl w:val="0"/>
              </w:rPr>
              <w:t xml:space="preserve"> 2. jebkuras īpašās prasības attiecībā uz konkrētās tvertnes izsekojamību;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 </w:t>
            </w:r>
            <w:r w:rsidR="00000000" w:rsidRPr="00000000" w:rsidDel="00000000">
              <w:rPr>
                <w:vertAlign w:val="superscript"/>
                <w:rtl w:val="0"/>
              </w:rPr>
              <w:t xml:space="preserve">8</w:t>
            </w:r>
            <w:r w:rsidR="00000000" w:rsidRPr="00000000" w:rsidDel="00000000">
              <w:rPr>
                <w:rtl w:val="0"/>
              </w:rPr>
              <w:t xml:space="preserve"> 3. atļaujas derīguma pēdējo dienu, kas nevar būt vēlāka par tā laikposma pēdējo dienu, ar kuru aktivizēts iekšējā tirgus ārkārtas situācijas režīms saskaņā ar Regulas Nr. 2024/2747 18.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 </w:t>
            </w:r>
            <w:r w:rsidR="00000000" w:rsidRPr="00000000" w:rsidDel="00000000">
              <w:rPr>
                <w:vertAlign w:val="superscript"/>
                <w:rtl w:val="0"/>
              </w:rPr>
              <w:t xml:space="preserve">8</w:t>
            </w:r>
            <w:r w:rsidR="00000000" w:rsidRPr="00000000" w:rsidDel="00000000">
              <w:rPr>
                <w:rtl w:val="0"/>
              </w:rPr>
              <w:t xml:space="preserve"> 4. jebkuras īpašās prasības, kas attiecas uz vajadzību nodrošināt nepārtrauktu atbilstības novērtēšanu, kura skar konkrēto tvertni;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 </w:t>
            </w:r>
            <w:r w:rsidR="00000000" w:rsidRPr="00000000" w:rsidDel="00000000">
              <w:rPr>
                <w:vertAlign w:val="superscript"/>
                <w:rtl w:val="0"/>
              </w:rPr>
              <w:t xml:space="preserve">8</w:t>
            </w:r>
            <w:r w:rsidR="00000000" w:rsidRPr="00000000" w:rsidDel="00000000">
              <w:rPr>
                <w:rtl w:val="0"/>
              </w:rPr>
              <w:t xml:space="preserve"> 5. pasākumus, kas jāveic attiecībā uz konkrēto tirgū laisto tvertni pēc iekšējā tirgus ārkārtas situācijas režīma izbeigšanās vai deaktivizēšanas.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9</w:t>
            </w:r>
            <w:r w:rsidR="00000000" w:rsidRPr="00000000" w:rsidDel="00000000">
              <w:rPr>
                <w:rtl w:val="0"/>
              </w:rPr>
              <w:t xml:space="preserve"> Uz tvertnēm, kurām piešķirta atļauja, saskaņā ar šo noteikumu 108.</w:t>
            </w:r>
            <w:r w:rsidR="00000000" w:rsidRPr="00000000" w:rsidDel="00000000">
              <w:rPr>
                <w:vertAlign w:val="superscript"/>
                <w:rtl w:val="0"/>
              </w:rPr>
              <w:t xml:space="preserve">4</w:t>
            </w:r>
            <w:r w:rsidR="00000000" w:rsidRPr="00000000" w:rsidDel="00000000">
              <w:rPr>
                <w:rtl w:val="0"/>
              </w:rPr>
              <w:t xml:space="preserve"> punktā minēto atkāpi nav CE atbilstības marķējuma un šo noteikumu 79. punktā minētā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10 </w:t>
            </w:r>
            <w:r w:rsidR="00000000" w:rsidRPr="00000000" w:rsidDel="00000000">
              <w:rPr>
                <w:rtl w:val="0"/>
              </w:rPr>
              <w:t xml:space="preserve">Tirgus uzraudzības iestāde, ņemot vērā šo noteikumu 108.</w:t>
            </w:r>
            <w:r w:rsidR="00000000" w:rsidRPr="00000000" w:rsidDel="00000000">
              <w:rPr>
                <w:vertAlign w:val="superscript"/>
                <w:rtl w:val="0"/>
              </w:rPr>
              <w:t xml:space="preserve">4</w:t>
            </w:r>
            <w:r w:rsidR="00000000" w:rsidRPr="00000000" w:rsidDel="00000000">
              <w:rPr>
                <w:rtl w:val="0"/>
              </w:rPr>
              <w:t xml:space="preserve"> un 108.</w:t>
            </w:r>
            <w:r w:rsidR="00000000" w:rsidRPr="00000000" w:rsidDel="00000000">
              <w:rPr>
                <w:vertAlign w:val="superscript"/>
                <w:rtl w:val="0"/>
              </w:rPr>
              <w:t xml:space="preserve">5</w:t>
            </w:r>
            <w:r w:rsidR="00000000" w:rsidRPr="00000000" w:rsidDel="00000000">
              <w:rPr>
                <w:rtl w:val="0"/>
              </w:rPr>
              <w:t xml:space="preserve">  punktu, ir tiesīga tvertnēm veikt visas korektīvās un ierobežojošās darbības, kas paredzētas Eiropas Parlamenta un Padomes 2019. gada 20. jūnija Regulā Nr. 2019/1020 par tirgus uzraudzību un produktu atbilstību un ar ko groza Direktīvu 2004/42/EK un Regulas (EK) Nr. 765/2008 un (ES) Nr. 305/2011 un šajos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11</w:t>
            </w:r>
            <w:r w:rsidR="00000000" w:rsidRPr="00000000" w:rsidDel="00000000">
              <w:rPr>
                <w:rtl w:val="0"/>
              </w:rPr>
              <w:t xml:space="preserve"> Šo noteikumu 108.</w:t>
            </w:r>
            <w:r w:rsidR="00000000" w:rsidRPr="00000000" w:rsidDel="00000000">
              <w:rPr>
                <w:vertAlign w:val="superscript"/>
                <w:rtl w:val="0"/>
              </w:rPr>
              <w:t xml:space="preserve">4</w:t>
            </w:r>
            <w:r w:rsidR="00000000" w:rsidRPr="00000000" w:rsidDel="00000000">
              <w:rPr>
                <w:rtl w:val="0"/>
              </w:rPr>
              <w:t xml:space="preserve"> - 108.</w:t>
            </w:r>
            <w:r w:rsidR="00000000" w:rsidRPr="00000000" w:rsidDel="00000000">
              <w:rPr>
                <w:vertAlign w:val="superscript"/>
                <w:rtl w:val="0"/>
              </w:rPr>
              <w:t xml:space="preserve">6</w:t>
            </w:r>
            <w:r w:rsidR="00000000" w:rsidRPr="00000000" w:rsidDel="00000000">
              <w:rPr>
                <w:rtl w:val="0"/>
              </w:rPr>
              <w:t xml:space="preserve"> punktā minētās atļaujas piešķiršanas procedūra neietekmē šo noteikumu 4. nodaļā noteikto attiecīgo atbilstības novērtēšanas procedūru piemērošanu."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noteikumu projektā konsekventi atsaukties uz šo noteikumu 2. pielikumā norādītajām būtiskajām drošuma prasībām (noteikumu projektā vietām norādīts uz būtiskajām prasībām, bet cituviet - uz būtiskajām drošības pamatprasībām).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Papildināt Noteikumus ar 10.</w:t>
            </w:r>
            <w:r w:rsidR="00000000" w:rsidRPr="00000000" w:rsidDel="00000000">
              <w:rPr>
                <w:vertAlign w:val="superscript"/>
                <w:rtl w:val="0"/>
              </w:rPr>
              <w:t xml:space="preserve">3</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r w:rsidR="00000000" w:rsidRPr="00000000" w:rsidDel="00000000">
              <w:rPr>
                <w:vertAlign w:val="superscript"/>
                <w:rtl w:val="0"/>
              </w:rPr>
              <w:t xml:space="preserve">3</w:t>
            </w:r>
            <w:r w:rsidR="00000000" w:rsidRPr="00000000" w:rsidDel="00000000">
              <w:rPr>
                <w:rtl w:val="0"/>
              </w:rPr>
              <w:t xml:space="preserve"> Atbilstības prezumpcija un tirgus uzraudzība tvertnēm, kas atzītas par krīzē būtiskām precēm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12</w:t>
            </w:r>
            <w:r w:rsidR="00000000" w:rsidRPr="00000000" w:rsidDel="00000000">
              <w:rPr>
                <w:rtl w:val="0"/>
              </w:rPr>
              <w:t xml:space="preserve"> Tvertnes, kuras Eiropas Komisija ar īstenošanas aktu atzinusi par krīzē būtiskām precēm, uzskaitot piemērojamos standartus vai nosakot kopējas specifikācijas tvertnēm, atbilst šo noteikumu būtiskajām drošuma prasībām, uz kurām attiecas šie standarti, kopējās specifikācijas vai to daļas. Pēc iekšējā tirgus ārkārtas situācijas izbeigšanās ražotājiem vairs nav iespējams paļauties uz atbilstības prezumpciju, ko nodrošina Eiropas Komisijas īstenošanas aktos norādītie standarti vai kopējās specifikācijas.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13</w:t>
            </w:r>
            <w:r w:rsidR="00000000" w:rsidRPr="00000000" w:rsidDel="00000000">
              <w:rPr>
                <w:rtl w:val="0"/>
              </w:rPr>
              <w:t xml:space="preserve">Ja vien nav pietiekama iemesla uzskatīt, ka tvertnes, uz kurām attiecas standarti vai kopējās specifikācijas, kas minētas 108.14 punktā, rada risku cilvēku veselībai vai drošībai, tvertnes, kas atbilst minētajiem standartiem vai kopējām specifikācijām un kas laistas tirgū, uzskata par atbilstošām šo noteikumu būtiskajām drošuma pamatprasībām.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14</w:t>
            </w:r>
            <w:r w:rsidR="00000000" w:rsidRPr="00000000" w:rsidDel="00000000">
              <w:rPr>
                <w:rtl w:val="0"/>
              </w:rPr>
              <w:t xml:space="preserve"> Tirgus uzraudzības iestādes uzraudzību prioritāri veic tām tvertnēm, kas atzītas par krīzē būtisku preci."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norādot, ka nav iespējams paļauties uz atbilstības prezumpciju, ko nodrošina attiecīgie standarti vai kopējās specifikācijas </w:t>
            </w:r>
            <w:r w:rsidR="00000000" w:rsidRPr="00000000" w:rsidDel="00000000">
              <w:rPr>
                <w:u w:val="single"/>
                <w:rtl w:val="0"/>
              </w:rPr>
              <w:t xml:space="preserve">nākamajā dienā</w:t>
            </w:r>
            <w:r w:rsidR="00000000" w:rsidRPr="00000000" w:rsidDel="00000000">
              <w:rPr>
                <w:rtl w:val="0"/>
              </w:rPr>
              <w:t xml:space="preserve"> pēc iekšējā tirgus ārkārtas situācijas izbeigšanās, tādējādi nodrošinot attiecīgās normas nepārprotamu izteiksmi.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25-TA-375</w:t>
    </w:r>
    <w:r>
      <w:br/>
    </w:r>
    <w:r w:rsidR="00000000" w:rsidRPr="00000000" w:rsidDel="00000000">
      <w:rPr>
        <w:rtl w:val="0"/>
      </w:rPr>
      <w:t xml:space="preserve">Izdrukāts 04.11.2025. 20.20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25-TA-375</w:t>
    </w:r>
    <w:r>
      <w:br/>
    </w:r>
    <w:r w:rsidR="00000000" w:rsidRPr="00000000" w:rsidDel="00000000">
      <w:rPr>
        <w:rtl w:val="0"/>
      </w:rPr>
      <w:t xml:space="preserve">Izdrukāts 04.11.2025. 20.20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Atzinumi_25-TA-375.docx</dc:title>
</cp:coreProperties>
</file>

<file path=docProps/custom.xml><?xml version="1.0" encoding="utf-8"?>
<Properties xmlns="http://schemas.openxmlformats.org/officeDocument/2006/custom-properties" xmlns:vt="http://schemas.openxmlformats.org/officeDocument/2006/docPropsVTypes"/>
</file>