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31. maija noteikumos Nr. 327 "Veterināro zāļu ievešanas un izvešanas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dienests, izsniedzot šo noteikumu </w:t>
            </w:r>
            <w:r w:rsidR="00000000" w:rsidRPr="00000000" w:rsidDel="00000000">
              <w:rPr>
                <w:rtl w:val="0"/>
              </w:rPr>
              <w:t xml:space="preserve">25.1.</w:t>
            </w:r>
            <w:r w:rsidR="00000000" w:rsidRPr="00000000" w:rsidDel="00000000">
              <w:rPr>
                <w:rtl w:val="0"/>
              </w:rPr>
              <w:t xml:space="preserve"> apakšpunktā minētās speciālās atļaujas (licences) atbilstoši normatīvajiem aktiem par kārtību, kādā izsniedzamas, apturamas, pārreģistrējamas un anulējamas speciālās atļaujas (licences) veterinārfarmaceitiskajai darbībai, konkrētās zāles ir iekļāvis datubāzē, un Zāļu valsts aģentūra par tām ir izsniegusi </w:t>
            </w:r>
            <w:r w:rsidR="00000000" w:rsidRPr="00000000" w:rsidDel="00000000">
              <w:rPr>
                <w:rtl w:val="0"/>
              </w:rPr>
              <w:t xml:space="preserve">Narkotisko un psihotropo vielu un zāļu, kā arī prekursoru likumīgās aprites likuma</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panta piektājā daļā vai 18. pantā minēto ikreizējo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1.5. apakšpunktu, kas skaidri noteiktu, ka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piektajā daļā un 18. pantā minētā ikreizējā atļauja ir viena un tā pati, ko izsniedz Zāļu valsts aģentūra (turpmāk – Aģentūra). Šī brīža minēto apakšpunktu teksta redakcija rada maldīgu priekšstatu, ka Aģentūra izsniedz dažādas ikreizējas atļaujas.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 Zāļu valsts aģentūra par tām ir izsniegusi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piektajā daļā </w:t>
            </w:r>
            <w:r w:rsidR="00000000" w:rsidRPr="00000000" w:rsidDel="00000000">
              <w:rPr>
                <w:b w:val="1"/>
                <w:u w:val="single"/>
                <w:rtl w:val="0"/>
              </w:rPr>
              <w:t xml:space="preserve">un</w:t>
            </w:r>
            <w:r w:rsidR="00000000" w:rsidRPr="00000000" w:rsidDel="00000000">
              <w:rPr>
                <w:rtl w:val="0"/>
              </w:rPr>
              <w:t xml:space="preserve"> 18.pantā minēto ikreizējo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Penģerote (ZVA)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Veterinārmedicīniskās prakses iestāde no citas dalībvalsts var ievest veterinārās zāles savas veterinārmedicīniskās prakses nodrošināšanai, ja ir saņēmusi attiecīgo veterināro zāļu ievešanas un lietošanas atļauju izņēmuma gadījumiem atbilstoši normatīvajiem aktiem par veterināro zāļu izplatīšanu un kontroli. Par veterinārajām narkotiskajām un psihotropajām zālēm saņem</w:t>
            </w:r>
            <w:r w:rsidR="00000000" w:rsidRPr="00000000" w:rsidDel="00000000">
              <w:rPr>
                <w:b w:val="1"/>
                <w:rtl w:val="0"/>
              </w:rPr>
              <w:t xml:space="preserve"> </w:t>
            </w:r>
            <w:r w:rsidR="00000000" w:rsidRPr="00000000" w:rsidDel="00000000">
              <w:rPr>
                <w:rtl w:val="0"/>
              </w:rPr>
              <w:t xml:space="preserve">Zāļu valsts aģentūras ikreizēju atļauju, kas izsniegta saskaņā ar </w:t>
            </w:r>
            <w:r w:rsidR="00000000" w:rsidRPr="00000000" w:rsidDel="00000000">
              <w:rPr>
                <w:rtl w:val="0"/>
              </w:rPr>
              <w:t xml:space="preserve">Narkotisko un psihotropo vielu un zāļu, kā arī prekursoru likumīgās aprites likuma </w:t>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panta piekto daļu vai 18.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1.8.apakšpunktu, kas skaidri noteiktu, ka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piektajā daļā un 18. pantā minētā ikreizējā atļauja ir viena un tā pati, ko izsniedz Zāļu valsts aģentūra (turpmāk – Aģentūra). Šī brīža minēto apakšpunktu teksta redakcija rada maldīgu priekšstatu, ka Aģentūra izsniedz dažādas ikreizējas atļaujas.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 saņem Zāļu valsts aģentūras ikreizēju atļauju, kas izsniegta </w:t>
            </w:r>
            <w:r w:rsidR="00000000" w:rsidRPr="00000000" w:rsidDel="00000000">
              <w:rPr>
                <w:b w:val="1"/>
                <w:u w:val="single"/>
                <w:rtl w:val="0"/>
              </w:rPr>
              <w:t xml:space="preserve">pamatojoties uz</w:t>
            </w:r>
            <w:r w:rsidR="00000000" w:rsidRPr="00000000" w:rsidDel="00000000">
              <w:rPr>
                <w:rtl w:val="0"/>
              </w:rPr>
              <w:t xml:space="preserve">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piekto daļu </w:t>
            </w:r>
            <w:r w:rsidR="00000000" w:rsidRPr="00000000" w:rsidDel="00000000">
              <w:rPr>
                <w:b w:val="1"/>
                <w:u w:val="single"/>
                <w:rtl w:val="0"/>
              </w:rPr>
              <w:t xml:space="preserve">un</w:t>
            </w:r>
            <w:r w:rsidR="00000000" w:rsidRPr="00000000" w:rsidDel="00000000">
              <w:rPr>
                <w:rtl w:val="0"/>
              </w:rPr>
              <w:t xml:space="preserve"> 18.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Penģerote (ZVA)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konkrētās zāles ir minētas speciālajā atļaujā (licencē) veterināro zāļu ražošanai ar norādi, ka importēšanas darbības ar veterinārajām narkotiskajām un psihotropajām zālēm ir atļautas, vai lieltirgotava ir saņēmusi speciālo atļauju (licenci) veterināro zāļu lieltirgotavas atvēršanai (darbībai) ar norādi, ka ir atļauta darbība ar veterinārajām narkotiskajām un psihotropajām zālēm;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1.4. punktu salāgot ar Saeimā 10.10.25. izsludināto grozījumu (Nr: 1015/Lp14) Narkotisko un psihotropo vielu un zāļu, kā arī prekursoru likumīgās aprites likumā 7.</w:t>
            </w:r>
            <w:r w:rsidR="00000000" w:rsidRPr="00000000" w:rsidDel="00000000">
              <w:rPr>
                <w:vertAlign w:val="superscript"/>
                <w:rtl w:val="0"/>
              </w:rPr>
              <w:t xml:space="preserve">2</w:t>
            </w:r>
            <w:r w:rsidR="00000000" w:rsidRPr="00000000" w:rsidDel="00000000">
              <w:rPr>
                <w:rtl w:val="0"/>
              </w:rPr>
              <w:t xml:space="preserve"> panta 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konkrētās zāles ir minētas speciālajā atļaujā (licencē) veterināro zāļu ražošanai ar norādi, ka importēšanas darbības ar veterinārajām narkotiskajām un psihotropajām zālēm ir atļautas, vai lieltirgotava ir saņēmusi speciālo atļauju (licenci) veterināro zāļu lieltirgotavas atvēršanai (darbībai) ar norādi, ka ir atļauta darbība ar veterinārajām narkotiskajām un psihotropajām zālēm. Lai importētu I sarakstā iekļautās vielas saturošas zāles, kurām paredzēts izņēmums — lietošanai veterinārmedicīniskām manipulācijām, papildus zāļu lieltirgotavai ir jābūt iekļautai to objektu sarakstā, kuriem Pārtikas un veterinārais dienests ir atļāvis darbības ar I sarakstā iekļautās vielas saturošām zālēm, kurām paredzēts izņēmums — lietošanai veterinārmedicīniskām manipulācijām;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Muravska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Fiziska persona, kas šķērso Latvijas robežu kopā ar dzīvnieku, drīkst ievest un izvest dzīvniekam nepieciešamās veterinārās zāles, izņemot veterinārās narkotiskās un psihotropās zāles, ārstniecības kursam, kas nav ilgāks par diviem mēnešiem. Ja dzīvniekam medicīnisku indikāciju dēļ nepieciešama nepārtraukta zāļu pieejamība, fiziska persona dzīvnieka ārstēšanai vajadzīgās veterinārās zāles, kuru sastāvā ir Latvijā kontrolējamo narkotisko vielu un psihotropo vielu II sarakstā iekļautās vielas, drīkst ievest un izvest ārstniecības kursam, kas nav ilgāks par 14 dienām, bet veterinārās zāles, kuru sastāvā ir Latvijā kontrolējamo narkotisko vielu un psihotropo vielu III sarakstā iekļautās vielas, – ārstniecības kursam, kas nav ilgāks par 30 dienām. Veterināro zāļu nepieciešamību apliecina praktizējoša veterinārārsta izrakstīta recepte vai receptes kopija, ko ir parakstījis un ar veterinārmedicīniskās prakses zīmoga nospiedumu apstiprinājis praktizējošs veterinārārsts, vai cits šo faktu apliecinošs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vismaz sākotnēji korektu atsauci noteikumu projekta 1.9.apakšpunktā uz II un III saraksta vielām, kā tas ir noteikts likumā “Par Krimināllikuma spēkā stāšanās un piemērošanas kārtību” (turpmāk – Likums): II saraksts (ļoti bīstamās narkotiskās vielas un tām pielīdzinātās psihotropās vielas, kuras atļauts izmantot medicīniskiem un zinātniskiem mērķiem); III saraksts (bīstamās psihotropās vielas, kuras var tikt izmantotas ļaunprātīgos nolūkos). Vienlaikus lūdzam labot, - Likuma 2.pielikuma III saraksts nosaka Latvijā kontrolējamās psihotropās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Penģerote (ZVA)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25-TA-369</w:t>
    </w:r>
    <w:r>
      <w:br/>
    </w:r>
    <w:r w:rsidR="00000000" w:rsidRPr="00000000" w:rsidDel="00000000">
      <w:rPr>
        <w:rtl w:val="0"/>
      </w:rPr>
      <w:t xml:space="preserve">Izdrukāts 07.11.2025.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25-TA-369</w:t>
    </w:r>
    <w:r>
      <w:br/>
    </w:r>
    <w:r w:rsidR="00000000" w:rsidRPr="00000000" w:rsidDel="00000000">
      <w:rPr>
        <w:rtl w:val="0"/>
      </w:rPr>
      <w:t xml:space="preserve">Izdrukāts 07.11.2025.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Atzinumi_25-TA-369.docx</dc:title>
</cp:coreProperties>
</file>

<file path=docProps/custom.xml><?xml version="1.0" encoding="utf-8"?>
<Properties xmlns="http://schemas.openxmlformats.org/officeDocument/2006/custom-properties" xmlns:vt="http://schemas.openxmlformats.org/officeDocument/2006/docPropsVTypes"/>
</file>