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6. aprīļa noteikumos Nr. 343 "Noteikumi par lielgabarīta un smagsvara pārvadājumiem"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Lielgabarīta vai smagsvara militāros transportlīdzekļus pavada militārā policija, par plānoto maršrutu informējot Valsts policijas attiecīgā reģiona pārvaldes priekšnieku.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Noteikumu 50.punkta pilnīgai svītrošanai, kurā paredzēts, ka lielgabarīta vai smagsvara militāros transportlīdzekļus pavada Militārā policija, par plānoto maršrutu informējot Valsts policijas attiecīgā reģiona pārvaldes priekšnieku. Projekta anotācijas 1.3.sadaļā ietvertais risinājuma skaidrojums (</w:t>
            </w:r>
            <w:r w:rsidR="00000000" w:rsidRPr="00000000" w:rsidDel="00000000">
              <w:rPr>
                <w:i w:val="1"/>
                <w:rtl w:val="0"/>
              </w:rPr>
              <w:t xml:space="preserve">"Tiek atvieglota kārtības piemērošana un kontrole (atļauju noformēšana, maršrutu saskaņošana ar 3.pusēm, pārbaude), kas saistīta arī ar 50. punkta svītrošanu"</w:t>
            </w:r>
            <w:r w:rsidR="00000000" w:rsidRPr="00000000" w:rsidDel="00000000">
              <w:rPr>
                <w:rtl w:val="0"/>
              </w:rPr>
              <w:t xml:space="preserve">) nav skaidrs, jo šajā punktā nav regulēta ne atļauju noformēšana, ne maršrutu saskaņošana, ne arī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Noteikumu 50.punkta svītrošanas, lielgabarīta un smagsvara transportlīdzekļus, kuri pārvadā militāras kravas (tai skaitā speciālo militāro tehniku) un lielgabarīta un smagsvara speciālos militāros transportlīdzekļus, atbilstoši šo Noteikumu VI.nodaļai būs jāpavada ar Valsts policijas operatīvo transportlīdzekli vai noteiktā kārtībā aprīkotu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iespējams, būs pretrunā ar Nacionālo bruņoto spēku likuma 6.</w:t>
            </w:r>
            <w:r w:rsidR="00000000" w:rsidRPr="00000000" w:rsidDel="00000000">
              <w:rPr>
                <w:vertAlign w:val="superscript"/>
                <w:rtl w:val="0"/>
              </w:rPr>
              <w:t xml:space="preserve">1</w:t>
            </w:r>
            <w:r w:rsidR="00000000" w:rsidRPr="00000000" w:rsidDel="00000000">
              <w:rPr>
                <w:rtl w:val="0"/>
              </w:rPr>
              <w:t xml:space="preserve"> panta otro daļu, kurā noteikts, ka Militārā policija aizsardzības ministra noteiktajā kārtībā pavada kolonnas un apsargā militārās kravas, kā arī regulē citu transportlīdzekļu kustību pavadāmo kolonnu, Nacionālo bruņoto spēku transportlīdzekļu un apsargājamo militāro kravu pārvietošanās maršrutos.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Noteikumu 50.punktā, iespējams, nepieciešami grozījumi, lai šo normu saskaņotu ar Ceļu satiksmes likumā ietverto speciālās militārās tehnikas un speciālo militāro transportlīdzekļu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ka Noteikumu 50.punkts skar Aizsardzības ministrijas kompetenci, aicinām projektu saskaņot arī ar Aizsardzības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22-TA-2427</w:t>
    </w:r>
    <w:r>
      <w:br/>
    </w:r>
    <w:r w:rsidR="00000000" w:rsidRPr="00000000" w:rsidDel="00000000">
      <w:rPr>
        <w:rtl w:val="0"/>
      </w:rPr>
      <w:t xml:space="preserve">Izdrukāts 27.04.2023.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22-TA-2427</w:t>
    </w:r>
    <w:r>
      <w:br/>
    </w:r>
    <w:r w:rsidR="00000000" w:rsidRPr="00000000" w:rsidDel="00000000">
      <w:rPr>
        <w:rtl w:val="0"/>
      </w:rPr>
      <w:t xml:space="preserve">Izdrukāts 27.04.2023.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Atzinumi_22-TA-2427.docx</dc:title>
</cp:coreProperties>
</file>

<file path=docProps/custom.xml><?xml version="1.0" encoding="utf-8"?>
<Properties xmlns="http://schemas.openxmlformats.org/officeDocument/2006/custom-properties" xmlns:vt="http://schemas.openxmlformats.org/officeDocument/2006/docPropsVTypes"/>
</file>