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nodrošina šo noteikumu </w:t>
            </w:r>
            <w:r w:rsidR="00000000" w:rsidRPr="00000000" w:rsidDel="00000000">
              <w:rPr>
                <w:rtl w:val="0"/>
              </w:rPr>
              <w:t xml:space="preserve">18.1. </w:t>
            </w:r>
            <w:r w:rsidR="00000000" w:rsidRPr="00000000" w:rsidDel="00000000">
              <w:rPr>
                <w:rtl w:val="0"/>
              </w:rPr>
              <w:t xml:space="preserve">apakšpunkta</w:t>
            </w:r>
            <w:r w:rsidR="00000000" w:rsidRPr="00000000" w:rsidDel="00000000">
              <w:rPr>
                <w:rtl w:val="0"/>
              </w:rPr>
              <w:t xml:space="preserve"> ietvaros iegādātā elektromobiļa pastāvīgu reģistrāciju Latvijas Republikas teritorijā finansējuma saņēmēja īpašumā vai turējumā, ja līzinga periodā īpašnieks ir līzinga pakalpojuma sniedzējs, vismaz četrus gadus kopš tā iegādes brīža vai kamēr ar to veikts vismaz 80 000 km nobraukums (no tā reģistrācijas finansējuma saņēmēja īpašumā vai turējumā brīža), ja tas tiek sasniegts mazāk kā četros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nosaka prasību, kas jāizpilda finansiālā atbalsta saņēmējam. Attiecībā uz ikgadējo nobraukumu ar elektromobili, noteikumu projektā minētais rādītājs ir noteikts kā 80,000 km (4 gadu periodā). FICIL ieskatā, 20,000 km nobraukums gadā atsevišķiem uzņēmumiem (nozarēm) varētu būt būtisks izaicinājums. Piemēram, FICIL jau tagad ir informācija, ka ar transportu tieši saistītiem komersantiem, kuri ikdienā izmanto elektromobiļus, lai nodrošinātu pakalpojumus, ir sarežģīti konstanti sasniegt 20,000 km nobraukumu gadā, jo īpaši ņemot vērā, ka pilnvērtīgi (uz 100%) šādu transportu var izmantot tikai apmēram 10 mēnešus gadā (pie īpaši zemas gaisa temperatūras būtiski samazinās reāli nobraucamais km apjoms). FICIL aicina, konsultējoties ar nozari, vērtēt, vai noteiktais apjoms nav pārāk liels un tādējādi neatturēs komersantus no pieteikšanās finansiālajam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25.06.2024.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25.06.2024.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Atzinumi_23-TA-1486.docx</dc:title>
</cp:coreProperties>
</file>

<file path=docProps/custom.xml><?xml version="1.0" encoding="utf-8"?>
<Properties xmlns="http://schemas.openxmlformats.org/officeDocument/2006/custom-properties" xmlns:vt="http://schemas.openxmlformats.org/officeDocument/2006/docPropsVTypes"/>
</file>