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apsvērt iespēju 6. pielikumā, </w:t>
            </w:r>
            <w:r w:rsidR="00000000" w:rsidRPr="00000000" w:rsidDel="00000000">
              <w:rPr>
                <w:i w:val="1"/>
                <w:rtl w:val="0"/>
              </w:rPr>
              <w:t xml:space="preserve">Kritēriji kases aparāta, hibrīda kases aparāta, kases sistēmas, specializētās ierīces vai iekārtas sertifikācijas priekšrocību piemērošanai</w:t>
            </w:r>
            <w:r w:rsidR="00000000" w:rsidRPr="00000000" w:rsidDel="00000000">
              <w:rPr>
                <w:rtl w:val="0"/>
              </w:rPr>
              <w:t xml:space="preserve">, pārskatīt 1. punktu – </w:t>
            </w:r>
            <w:r w:rsidR="00000000" w:rsidRPr="00000000" w:rsidDel="00000000">
              <w:rPr>
                <w:i w:val="1"/>
                <w:rtl w:val="0"/>
              </w:rPr>
              <w:t xml:space="preserve">saimniecisko darbību veic ilgāk par trim gadiem</w:t>
            </w:r>
            <w:r w:rsidR="00000000" w:rsidRPr="00000000" w:rsidDel="00000000">
              <w:rPr>
                <w:rtl w:val="0"/>
              </w:rPr>
              <w:t xml:space="preserve">. Aicinām izskatīt iespēju atvieglot prasību par trīs gadu darbības pieredzi, lai ļautu arī jauniem, bet godprātīgiem uzņēmumiem pretendēt uz priekšrocībām. Piemēram, varētu noteikt minimālu divu gadu periodu, kas nodrošinātu vienlīdzīgu piekļuvi sertifikācijas priekšrocībām uzņēmumiem ar mazāku darbības pieredzi, bet ar labu reputāciju un atbilstību pārējiem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saimniecisko darbību veic ilgāk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11.02.2025.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11.02.2025.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