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"Farmaceitiskās darbības licencēšanas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Farmācijas likuma 5.panta 1., 1.</w:t>
            </w:r>
            <w:r w:rsidR="00000000" w:rsidRPr="00000000" w:rsidDel="00000000">
              <w:rPr>
                <w:vertAlign w:val="superscript"/>
                <w:rtl w:val="0"/>
              </w:rPr>
              <w:t xml:space="preserve">1 </w:t>
            </w:r>
            <w:r w:rsidR="00000000" w:rsidRPr="00000000" w:rsidDel="00000000">
              <w:rPr>
                <w:rtl w:val="0"/>
              </w:rPr>
              <w:t xml:space="preserve">., 14., 19.</w:t>
            </w:r>
            <w:r w:rsidR="00000000" w:rsidRPr="00000000" w:rsidDel="00000000">
              <w:rPr>
                <w:vertAlign w:val="superscript"/>
                <w:rtl w:val="0"/>
              </w:rPr>
              <w:t xml:space="preserve">1</w:t>
            </w:r>
            <w:r w:rsidR="00000000" w:rsidRPr="00000000" w:rsidDel="00000000">
              <w:rPr>
                <w:rtl w:val="0"/>
              </w:rPr>
              <w:t xml:space="preserve"> un  26.punktu, 37., 45. un 51.pantu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likuma 12.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“Farmaceitiskās darbības licencēšanas noteikumi”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norādi - Farmācijas likuma (turpmāk – likums) pilnvarojumus Ministru kabinetam par noteikumu izdošanu- - nepieciešams precizēt, jo šobrīd un arī pēc 2025. gada 1. jūlija likuma 37. un 45. pants neparedz pilnvarojumu Ministru kabinetam par noteikumu izdošanu, savukārt likuma 51. pantā pilnvarojums ir devītajā daļā. Ievērojot minēto, nepieciešams precizēt projekta izdošanas norādi, kā arī jāizvērtē un nepieciešamības gadījumā jāprecizē projekta 1. punkts, jo tajā atbilstoši norādītajiem pilnvarojumiem var paredzēt šādu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un kārtību, kādā izsniedzamas, apturamas, atjaunojamas, pārreģistrējamas un anulējamas speciālās atļaujas (licences) veterinārfarmaceitiskajai darbībai, farmaceitu profesionālās kvalifikācijas sertifikāti, aptieku darbības uzsākšanas un darbības kārtību, kā arī veterināro zāļu lieltirgotavu un veterināro zāļu ražošanas vai importēšanas darbības uzsākšanas, darbības un atbilstības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farmaceitiskās darbības licencēšanas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tiek vērtēta zāļu (izņemot veterināro zāļu) izplatīšanas atbilstība labas izplatīšanas prakses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apmēru, kādā maksājama valsts nodeva par speciālās atļaujas (licences) izsniegšanu un pārreģistrēšanu farmaceitiskajai darbībai, un kārtību, kādā tā iekasējama, kā arī atvieglojumus un atbrīvojumus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aptiekās izplatāmos pārtikas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gadījumus, kad speciālā atļauja (licence) zāļu, tajā skaitā pētāmo zāļu un papildzāļu, un veterināro zāļu ražošanai un importēšanai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pārreģistrācijas, apturēšanas, atjaunošanas un anulēšanas kārtība narkotiskajām un psihotropajām vielām un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1. punktā izvērsti nav jānorāda dažādi farmaceitiskās darbības licencēšanas veidi, ja regulējums par to atbilst likuma pilnvarojumam un tas tiek paredzēts projekta turpmākajos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Ja aģentūra ir pieņēmusi lēmumu par lietas izskatīšanas termiņa pagarināšanu, lēmuma pieņemšanas dienā par to paziņo pa tālruni un minēto lēmumu 10 dienu laikā pa faksu un elektronisko pastu (ja elektroniskā pasta adrese ir norādīta iesniegumā) nosūta iesniedzējam. Ja nepieciešama papildu pārbaude, aģentūras amatpersonas nodrošina tās veikšanu un par to sastāda kontroles ziņojumu saskaņā ar šo noteikumu 38.punktu.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54. un 58. punktu nepieciešams izvērtēt un piedāvājam tos precizēt, veidojot atsauces normas par Paziņošanas likumā noteiktā regulējuma piemērošanu, vai svītrot. Vēršam uzmanību, ka administratīvo aktu paziņošana administratīvajā procesā notiek tikai Paziņošanas likumā noteiktajā kārtībā, kas paredz gan adresāta telefonisku informēšanu (Paziņošanas likuma 9.panta piektā daļa), gan arī dažādus citus paziņošanas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aģentūra pieņem šo noteikumu 52.6.apakšpunktā minēto lēmumu par licences anulēšanu, pamatojoties uz kontrolējošo iestāžu amatpersonu ziņojumu, tā nosaka termiņu (ne ilgāku par diviem mēnešiem), no kura licence tiek anulēta, un norāda to pieņemtajā lēmumā. Par šo lēmumu aģentūra triju dienu laikā informē licences turētāju un inspekciju.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61. punktu nepieciešams precizēt atbilstoši Administratīvā procesa likuma 70. pantā noteiktajam, proti, adresātam (licences turētājam) administratīvo aktu vienmēr paziņo, savukārt kompetentās valsts pārvaldes institūcijas (inspekcija) var informēt. Tādējādi projekta 61. punktā nepieciešams nodalīt licences turētājam un inspekcijai paredzēto paziņošanas vai informēšanas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zāļu, pētāmo zāļu, kontrolējamo vielu un aktīvo vielu ražošanā un kontrolē ievēro labas ražošanas prakses principus, kas noteikti normatīvajos aktos par zāļu un aktīvo vielu ražošanu un kontroli, un Eiropas Komisijas labas ražošanas prakses vadlīnijas, kā arī par izejvielām izmanto tikai tādas aktīvās vielas, kas ražotas saskaņā ar aktīvo vielu labas ražošanas prakses pamatnostādnēm;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ņemot vērā, ka atbilstoši Ministru kabineta 2009. gada 3. februāra noteikumu Nr. 108 "Normatīvo aktu projektu sagatavošanas noteikumi" 131. punktam projektā var ietvert atsauces uz citām projekta normām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w:t>
            </w:r>
            <w:r w:rsidR="00000000" w:rsidRPr="00000000" w:rsidDel="00000000">
              <w:rPr>
                <w:i w:val="1"/>
                <w:rtl w:val="0"/>
              </w:rPr>
              <w:t xml:space="preserve"> 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projekta 84.6. apakšpunktā ietverta atsauce uz “Eiropas Komisijas labas ražošanas prakses vadlīnijām”, kas nav juridiski saistošs un tam ir ieteikuma raksturs, lūdzam precizēt projektu, svītrojot atsauci uz vadlīnijām. Tā vietā, ja nepieciešams, lūdzam attiecīgo minēto vadlīniju saturu, kuru nepieciešams padarīt saistošu privātpersonām, pārņemt projektā, līdzīgi kā pārņem direktīvu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Aģentūras lēmumu par atteikumu izsniegt licenci, licences anulēšanu, pārreģistrēšanu vai darbības apturēšanu var apstrīdēt Administratīvā procesa likumā noteiktajā kārtībā, iesniedzot attiecīgu iesniegumu Veselības ministrijā. Veselības ministrijas lēmumu normatīvajos aktos noteiktajā kārtībā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85. punktu nepieciešams svītrot, jo tas dublē likumā noteikto regulējumu, proti, administratīvajā procesā paredzēto valsts pārvaldes lēmumu apstrīdēšanas un pārsūdzēšanas kārtību nosaka likuma 64. pants. Tāpat arī līdzīgs regulējums par lēmumu apstrīdēšanu un pārsūdzēšanu ir noteikts Narkotisko un psihotropo vielu un zāļu, kā arī prekursoru likumīgās aprites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 Ministru kabineta noteikumu izdošanu, vienlaicīgi atzīstot par spēku zaudējušiem līdzšinējos. Tāpēc nav korekti norādīt, ka "</w:t>
            </w:r>
            <w:r w:rsidR="00000000" w:rsidRPr="00000000" w:rsidDel="00000000">
              <w:rPr>
                <w:i w:val="1"/>
                <w:rtl w:val="0"/>
              </w:rPr>
              <w:t xml:space="preserve">Ar projektu tiek saglabātas pārņemtās saistības, kas noteiktas Ministru kabineta 2011.gada 19.oktobra noteikumi Nr.800 "Farmaceitiskās darbības licencēšanas kārtība" un izriet no ES dokumentiem</w:t>
            </w:r>
            <w:r w:rsidR="00000000" w:rsidRPr="00000000" w:rsidDel="00000000">
              <w:rPr>
                <w:rtl w:val="0"/>
              </w:rPr>
              <w:t xml:space="preserve">", un visa aktuālā informācija par projekta atbilstību Eiropas Savienības tiesībām ir atspoguļojama projekta anotācijas 5. sadaļā. Norādām, ka no pašreiz anotācijā sniegtās informācijas nav iespējams izvērtēt projekta atbilstību Latvijas Republikas starptautiskajām saistībām.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pamatojoties uz Ministru kabineta 2021. gada 7. septembra noteikumu Nr. 617 "Tiesību akta projekta sākotnējās ietekmes izvērtēšanas kārtība" 9.19. apakšpunktu, lūdzam aizpildīt anotācijas 5. sadaļu, nodrošinot pilnīgu informāciju par projekta atbilstību Latvijas Republikas starptautiskajām saistībām un to izpildes atspoguļojumu (anotācijas 5. sadaļas aizpildīšanā iesakām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projektā ieviestas Eiropas Savienības regulu prasības - projektā ietvertas atsauces uz regulu normām. Norādām, ka, lai arī regulas ir tieši piemērojamas un tās atšķirībā no direktīvām, nav jāpārņem nacionālajos tiesību aktos, dalībvalstij ir jānodrošina regulu tieša piemērošana katrā dalībvalstī un tam var būt nepieciešami īpaši regulas ieviešanas pasākumi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atsauču uz regulu un tās vienībām ietveršana normatīvajos aktos pēc būtības ir regulas prasību ieviešana, jo tādējādi tiek nodrošināta regulas prasību praktiskā piemērošana. Attiecīgi, ņemot vērā minēto, lūdzam anotācijas 5. sadaļā atspoguļot arī no projekta izrietošo Eiropas Savienības tiesību aktu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iesakām precizēt skaidrojumus par to, ka "</w:t>
            </w:r>
            <w:r w:rsidR="00000000" w:rsidRPr="00000000" w:rsidDel="00000000">
              <w:rPr>
                <w:i w:val="1"/>
                <w:rtl w:val="0"/>
              </w:rPr>
              <w:t xml:space="preserve">Eiropas Parlamenta un Padomes 2001.gada 4.aprīļa Direktīvas 2001/20/EK par dalībvalstu normatīvo un administratīvo aktu tuvināšanu attiecībā uz labas klīniskās prakses ieviešanu klīniskās izpētes veikšanā ar cilvēkiem paredzētām zālēm un Komisijas 2005.gada 8.aprīļa Direktīvas 2005/28/EK, ar ko nosaka labas klīniskās prakses principus un sīki izstrādātas pamatnostādnes attiecībā uz pētāmām cilvēkiem paredzētām zālēm, kā arī prasības attiecībā uz šādu zāļu ražošanas atļauju vai importēšanu</w:t>
            </w:r>
            <w:r w:rsidR="00000000" w:rsidRPr="00000000" w:rsidDel="00000000">
              <w:rPr>
                <w:rtl w:val="0"/>
              </w:rPr>
              <w:t xml:space="preserve">" ir zaudējušas spēku, ņemot vērā, ka, atbilstoši Eiropas Parlamenta un Padomes 2014. gada 16. aprīļa regulas (ES) Nr. 536/2014 par cilvēkiem paredzētu zāļu klīniskajām pārbaudēm un ar ko atceļ Direktīvu 2001/20/EK pārejas noteikumiem, šo direktīvu noteikumi, atsevišķos gadījumos, vēl var tikt piemēroti.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SPECIĀLA ATĻAUJA (LICENCE) CILVĒKIEM PAREDZĒTO ZĀĻU IZPLATĪŠANAI VAIRUMTIRDZNIECĪBĀ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2004. gada 31. marta Regula (EK) Nr. 726/2004, ar ko nosaka cilvēkiem paredzēto un veterināro zāļu reģistrēšanas un uzraudzības Kopienas procedūras un izveido Eiropas Zāļu aģentūru (turpmāk - Regula 726/2004).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17.06.2025.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25-TA-1407</w:t>
    </w:r>
    <w:r>
      <w:br/>
    </w:r>
    <w:r w:rsidR="00000000" w:rsidRPr="00000000" w:rsidDel="00000000">
      <w:rPr>
        <w:rtl w:val="0"/>
      </w:rPr>
      <w:t xml:space="preserve">Izdrukāts 17.06.2025.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Atzinumi_25-TA-1407.docx</dc:title>
</cp:coreProperties>
</file>

<file path=docProps/custom.xml><?xml version="1.0" encoding="utf-8"?>
<Properties xmlns="http://schemas.openxmlformats.org/officeDocument/2006/custom-properties" xmlns:vt="http://schemas.openxmlformats.org/officeDocument/2006/docPropsVTypes"/>
</file>