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Sociālās aizsardzības un darba tirgus politikas pamatnostādņu 2021.-2027. gadam īstenošanas starpposma ietekmes izvērtējumu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23.03.2026.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23.03.2026.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