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pēc vārda “personai” ar vārdiem “lietojot transportlīdzekli transporta vajadzībām neatkarīgi no transportlīdzekļa lietošanas vietas un neatkarīgi no tā, vai transportlīdzeklis ir stāvošs vai atrodas kustībā”;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transportlīdzekļa lietošana transporta vajadzībām, kā arī to, kādā veidā transportlīdzekli var lietot transportlīdzekļa vajadzībām, ja tas ir stāvošs, jo šobrīd tas nav skaidri noformulēts.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transportlīdzekļa līzinga gadījumā - transportlīdzekļa reģistrācijas apliecībā norādītais transportlīdzekļa turētājs, kas normatīvajos aktos noteiktajā kārtībā uz laiku ir pārtraucis transportlīdzekļa reģistrāciju valsts vai pašvaldību transportlīdzekļu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atsevišķu 3.panta trešās daļas punktu, kas būtu attiecināms uz transportlīdzekļa turētāju, jo, Satiksmes ministrijas ieskatā, nav skaidra transportlīdzekļa tiesīgā lietotāja saikne ar transportlīdzekļa līzinga gadījumā transportlīdzekļa reģistrācijas apliecībā norādīto transportlīdzekļa turētāju.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30.08.2023. 08.48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30.08.2023. 08.48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