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aktuālā redakcija nesniedz priekšstatu par to, kā plānots mobilizēt privātā sektora finansējuma iesaisti sekmīgai plāna īstenošanai, vienlaikus pamatoti radot iespaidu, ka bez privātā sektora līdzdalības mērķi netiks sasniegti.  Ir vērts apsvērt, kā virzīšanās atbilstoši ietekmes uz vidi mazināšanas hierarhijai (to mēdz formulēt dažādi, piemēram, avoid-shift-improve vai avoid-minimize-restore-offset ekosistēmu gadījumā) var palīdzēt ierobežot lēsto finansējuma vajadzību plāna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Kušners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Ierobežotu resursu apstākļos ļoti būtiski ir izvēlēties risinājumus, kas veicina arī ilgtermiņa mērķu (2050.g.) sasniegšanu un neietver citus, ar ilgtspējīgu attīstību nesaistītus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iesaka veicināt AE īpatsvara palielināšanos pilnvērtīgi izmantojot enerģijas gala patēriņa samazinājuma potenciālu caur saprātīgu enerģijas patēŗiņu (sufficiency) un energoefektivitātes pasākumiem nevis pārinvestējot jaunās AE jaudās, tādējādi neizvēloties virzienu, kas Latvijai būs "grūtāks un dārgāks" kā valstij kurai jau šobrīd ir augsts AE īpatsvars. Eksporta veicināšana ir pozitīvs, bet tiešā veidā ar NEKP mērķiem nesaistīts uzdevums. Minētais ir nozīmīgi, koncentrējoties uz tiem sektoriem (piem., transports, siltumapgāde u.c.) un apakšsektoriem, kuros jau sākotnēji ir salīdzinoši mazāks AE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Kušners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