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19. augusta noteikumos Nr. 482 "Noteikumi par aizsardzību pret jonizējošo starojumu medicīniskajā apstarošanā"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radiācijas drošību un kodoldrošību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3.panta trešās daļas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Oficiālo publikāciju un tiesiskās informācijas likuma 9. panta piektajai daļai, ja spēku zaudē normatīvā akta izdošanas tiesiskais pamats (augstāka juridiska spēka tiesību norma, uz kuras pamata izdots cits normatīvais akts), spēku zaudē arī uz šā pamata izdotais normatīvais akts vai tā daļa, </w:t>
            </w:r>
            <w:r w:rsidR="00000000" w:rsidRPr="00000000" w:rsidDel="00000000">
              <w:rPr>
                <w:b w:val="1"/>
                <w:rtl w:val="0"/>
              </w:rPr>
              <w:t xml:space="preserve">Tieslietu ministrija iebilst noteikumu projekta turpmākai virzībai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19. augusta noteikumi Nr. 482 "Noteikumi par aizsardzību pret jonizējošo starojumu medicīniskajā apstarošanā" (turpmāk – Noteikumi Nr. 482) izdoti, pamatojoties uz likuma "Par radiācijas drošību un kodoldrošību" 3. panta trešo daļu, kas atbilstoši 2026. gada 16. aprīlī pieņemtajam likumam "Grozījumi likumā "Par radiācijas drošību un kodoldrošību"" zaudēs spēku 2026. gada 1. jūnijā. Tādējādi arī Noteikumi Nr. 482 zaudēs spēku 2026. gada 1. jūnijā.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26-TA-1029</w:t>
    </w:r>
    <w:r>
      <w:br/>
    </w:r>
    <w:r w:rsidR="00000000" w:rsidRPr="00000000" w:rsidDel="00000000">
      <w:rPr>
        <w:rtl w:val="0"/>
      </w:rPr>
      <w:t xml:space="preserve">Izdrukāts 12.05.2026.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26-TA-1029</w:t>
    </w:r>
    <w:r>
      <w:br/>
    </w:r>
    <w:r w:rsidR="00000000" w:rsidRPr="00000000" w:rsidDel="00000000">
      <w:rPr>
        <w:rtl w:val="0"/>
      </w:rPr>
      <w:t xml:space="preserve">Izdrukāts 12.05.2026.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Atzinumi_26-TA-1029.docx</dc:title>
</cp:coreProperties>
</file>

<file path=docProps/custom.xml><?xml version="1.0" encoding="utf-8"?>
<Properties xmlns="http://schemas.openxmlformats.org/officeDocument/2006/custom-properties" xmlns:vt="http://schemas.openxmlformats.org/officeDocument/2006/docPropsVTypes"/>
</file>