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sadaļu ar izvērtējumu par ierosināto grozījumu ietekmi uz finansējuma saņēmēju un īstenošanā esošajiem projektiem, vienlaikus skaidrojot, vai būs nepieciešami grozījumi noslēgtajā līgumā vai vienošanās par projekta īstenošanu. Vienlaikus lūdzam minētajā anotācijas sadaļā skaidrot, vai plānotie grozījumi tiek uzskatīti par būtiskiem un ietekmē projekta ietvaros veicamo darbību veidu, projekta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ja tas noteikts projekta īstenošanas līgumā, – pamatojoties uz finansējuma saņēmēja rakstisku avansa pieprasījumu, piešķir avansa maksājumus ne vairāk kā 30 % apmērā, ko finansējuma saņēmējs apgūst sešu mēnešu laikā saimnieciskā gada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skaidrus samaksas nosacījumus, aicinām papildināt 18.1.1.apakšpunktu, ka avansa un starpposma maksājumu kopsumma nevar pārsniegt 90% no kopējā projekta finansējuma, ņemot vērā Vadlīniju informatīvā ziņojuma vai Ministru kabineta noteikumu izstrādei par Eiropas Savienības Atveseļošanas un noturības mehānisma plāna reformas vai investīcijas ieviešanu 71.punktu.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r w:rsidR="00000000" w:rsidRPr="00000000" w:rsidDel="00000000">
              <w:rPr>
                <w:vertAlign w:val="superscript"/>
                <w:rtl w:val="0"/>
              </w:rPr>
              <w:t xml:space="preserve">1</w:t>
            </w:r>
            <w:r w:rsidR="00000000" w:rsidRPr="00000000" w:rsidDel="00000000">
              <w:rPr>
                <w:rtl w:val="0"/>
              </w:rPr>
              <w:t xml:space="preserve"> attiecībā uz investīcijas 2.1.2.1.i. nolūka "Pašvaldību pakalpojumu digitālā transformācija un pašvaldību atbalsta procesu modernizācija un centralizācija" projektiem veic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2009. gada 3. februāra noteikumu Nr.108 „Normatīvo aktu projektu sagatavošanas noteikumi” 3.2. apakšpunkts paredz, ka normatīvā akta projektā neietver normas, kas dublē augstāka vai tāda paša spēka normatīvā akta tiesību normās ietverto normatīvo regulējumu. Ievērojot minēto, lūdzam izvērtēt MK noteikumu Nr.435 plānoto 18.1.</w:t>
            </w:r>
            <w:r w:rsidR="00000000" w:rsidRPr="00000000" w:rsidDel="00000000">
              <w:rPr>
                <w:vertAlign w:val="superscript"/>
                <w:rtl w:val="0"/>
              </w:rPr>
              <w:t xml:space="preserve">1</w:t>
            </w:r>
            <w:r w:rsidR="00000000" w:rsidRPr="00000000" w:rsidDel="00000000">
              <w:rPr>
                <w:rtl w:val="0"/>
              </w:rPr>
              <w:t xml:space="preserve"> 1.apakšpunktu, jo tas dublē noteikumu Nr.435 26.punkta regulējumu. Tāpat aicinām neiekļaut 18.1.</w:t>
            </w:r>
            <w:r w:rsidR="00000000" w:rsidRPr="00000000" w:rsidDel="00000000">
              <w:rPr>
                <w:vertAlign w:val="superscript"/>
                <w:rtl w:val="0"/>
              </w:rPr>
              <w:t xml:space="preserve">1</w:t>
            </w:r>
            <w:r w:rsidR="00000000" w:rsidRPr="00000000" w:rsidDel="00000000">
              <w:rPr>
                <w:rtl w:val="0"/>
              </w:rPr>
              <w:t xml:space="preserve"> 2.apakšpunktu, jo 18.punkts šajos noteikumos paredz papildu CFLA darbības, bet daļa no 16.3.3. -16.3.8. apakšpunktā minētajām funkcijām dublē AF horizontālo MKN Nr.621 9.punktu, kas jau paredz CFLA funkcijas AF projektu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pamatot/skaidrot, kāpēc 18.1.</w:t>
            </w:r>
            <w:r w:rsidR="00000000" w:rsidRPr="00000000" w:rsidDel="00000000">
              <w:rPr>
                <w:vertAlign w:val="superscript"/>
                <w:rtl w:val="0"/>
              </w:rPr>
              <w:t xml:space="preserve">1</w:t>
            </w:r>
            <w:r w:rsidR="00000000" w:rsidRPr="00000000" w:rsidDel="00000000">
              <w:rPr>
                <w:rtl w:val="0"/>
              </w:rPr>
              <w:t xml:space="preserve"> 2.apakšpunktā CFLA paredzēta  papildu apliecinājuma iesniegšana, kas ministrijām ir paredzēta ar šiem MK noteikumiem, jo tehniski nav iespējama KPVIS trīspusējo līgumu gadījumā, bet CFLA kā līgumslēdzējs veic sasniegto rādītāju apliecināšanu KPVIS.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projekta īstenošanā tiek iesaistīts sadarbības partneris, finansējuma saņēmējs triju mēnešu laikā pēc sadarbības partnera iesaistīšanās projektā noslēdz sadarbības līgumu, kurā noteikti pušu pienākumi un tiesības, un maksāšanas kārtība (ja attiecināms), tai skaitā sadarbības partneriem, kas veic arī komercdarbību, iekļaujot nosacījumu, ka projekta finansējums netiek izmantots komercdarbības atbalstam. Šo noteikumu 11.2., 11.3., 11.4., 11.5. un 11.6. apakšpunktā minētie finansējuma saņēmēji sadarbības līgumā var iekļaut nosacījumu par avansa maksājumu finansējuma saņēmēja sadarbības partneriem, kura apmēru nosaka finansējuma saņēmējs un kas nedrīkst pārsniegt 30 % no sadarbības partnerim plānotā maksājuma kopējā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anotācijā skaidrojumu par sadarbības partneru avansēšanu. Nepārprotamai interpretācijai, ka šo noteikumu 11.1.apakšpunktā paredzēto finansējuma saņēmēju sadarbības līgumos tiek paredzēti avansa maksājumi, piedāvājam noteikumu 29.punkta šādu redakciju: “29. Ja projekta īstenošanā tiek iesaistīts sadarbības partneris, finansējuma saņēmējs triju mēnešu laikā pēc sadarbības partnera iesaistīšanās projektā noslēdz sadarbības līgumu, kurā noteikti pušu pienākumi un tiesības, maksāšanas kārtību (ja attiecināms), tai skaitā sadarbības partneriem, kas veic arī komercdarbību, iekļaujot nosacījumu, ka projekta finansējums netiek izmantots komercdarbības atbalstam. Finansējuma saņēmēji sadarbības līgumā var iekļaut nosacījumu par avansa maksājumu finansējuma saņēmēja sadarbības partneriem, kura apmēru nosaka finansējuma saņēmējs. Šo noteikumu 11.2., 11.3., 11.4., 11.5. un 11.6. apakšpunktā minēto finansējuma saņēmēju sadarbības partneriem avansa maksājums nedrīkst pārsniegt 30 % no sadarbības partnerim plānotā maksājuma kopējā apmēra.”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11.09.2024.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11.09.2024.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