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ir veikts darbinieku mācību vajadzības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dzēst noteikumu projekta 7.4. 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nosacījums rada papildus administratīvo slogu uzņēmumam un palielina birokrātiju gan projekta īstenošanā, gan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apmācības lielākā daļā gadījumu notiek darba laikā un uzņēmumam mācību maksa ir  jāpriekšfinansē, tad nepastāv risks, ka uzņēmums sūtīs darbinieku uz apmācībām, kuras darbiniekam nav vajadzīgas,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uzņēmums, iesniedzot finansējuma saņēmējam gala labuma guvēja pieteikumu, tajā jau norāda pamatojumu apmācību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iesniegumos pasākuma pirmās kārtas īstenošanai kopējo pieejamo finansējumu plāno ne vairāk kā 12 219 109 </w:t>
            </w:r>
            <w:r w:rsidR="00000000" w:rsidRPr="00000000" w:rsidDel="00000000">
              <w:rPr>
                <w:i w:val="1"/>
                <w:rtl w:val="0"/>
              </w:rPr>
              <w:t xml:space="preserve">euro</w:t>
            </w:r>
            <w:r w:rsidR="00000000" w:rsidRPr="00000000" w:rsidDel="00000000">
              <w:rPr>
                <w:rtl w:val="0"/>
              </w:rPr>
              <w:t xml:space="preserve"> apmērā, tai skaitā ESF+ finansējumu – 10 386 242 </w:t>
            </w:r>
            <w:r w:rsidR="00000000" w:rsidRPr="00000000" w:rsidDel="00000000">
              <w:rPr>
                <w:i w:val="1"/>
                <w:rtl w:val="0"/>
              </w:rPr>
              <w:t xml:space="preserve">euro</w:t>
            </w:r>
            <w:r w:rsidR="00000000" w:rsidRPr="00000000" w:rsidDel="00000000">
              <w:rPr>
                <w:rtl w:val="0"/>
              </w:rPr>
              <w:t xml:space="preserve"> apmērā un valsts budžeta līdzfinansējumu –   1 832 867 </w:t>
            </w:r>
            <w:r w:rsidR="00000000" w:rsidRPr="00000000" w:rsidDel="00000000">
              <w:rPr>
                <w:i w:val="1"/>
                <w:rtl w:val="0"/>
              </w:rPr>
              <w:t xml:space="preserve">euro</w:t>
            </w:r>
            <w:r w:rsidR="00000000" w:rsidRPr="00000000" w:rsidDel="00000000">
              <w:rPr>
                <w:rtl w:val="0"/>
              </w:rPr>
              <w:t xml:space="preserve"> apmērā. Vienam projekta iesniegumam pasākuma pirmajā kārtā pieejamais minimālais finansējums ir  900 000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15.punktu, izsakot to šādā redakcijā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maksimālais finansējums ir  900 000 euro vienai projekta īstenošanas nozarei vai apakšnozarei atbilstoši šo noteikumu 2.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Lai nodrošinātu efektīvu programmas darbības pārklājumu būtu jāparedz finansējums katrā no noteikumu projekta Pielikumā Nr.2 minētajām nozarēm, lai nodrošinātu projekta mērķauditorijas pārklājumu gan nozarēs, gan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ES fondu finansējuma izlietojuma efektivitātes viedokļa būtu jānodrošina iespēja īstenot projektu un sasniegt rādītājus ar mazāku finansējumu.  15.punkta redakcija neizslēdz iespēju vienā projekta pieteikumā norādīt vairāk kā vienu projekta īstenošanas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izsakām priekšlikumu - izstrādājot projektu pieteikumu vērtēšanas kritērijus, iekļaut kritēriju par projekta iesniedzēja pieredzi līdzīgu projektu īstenošanā pēdējo 3-5 gadu laikā vismaz 85% apmērā no plānotās projekta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maksimālais finansējums ir  900 000 euro vienai projekta īstenošanas nozarei vai apakšnozarei atbilstoši šo noteikumu 2.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Visām šo noteikumu </w:t>
            </w:r>
            <w:r w:rsidR="00000000" w:rsidRPr="00000000" w:rsidDel="00000000">
              <w:rPr>
                <w:rtl w:val="0"/>
              </w:rPr>
              <w:t xml:space="preserve">29. </w:t>
            </w:r>
            <w:r w:rsidR="00000000" w:rsidRPr="00000000" w:rsidDel="00000000">
              <w:rPr>
                <w:rtl w:val="0"/>
              </w:rPr>
              <w:t xml:space="preserve">punkt</w:t>
            </w:r>
            <w:r w:rsidR="00000000" w:rsidRPr="00000000" w:rsidDel="00000000">
              <w:rPr>
                <w:rtl w:val="0"/>
              </w:rPr>
              <w:t xml:space="preserve">ā minētajām darbībām, par kurām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kas piedalās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29.2.1.</w:t>
            </w:r>
            <w:r w:rsidR="00000000" w:rsidRPr="00000000" w:rsidDel="00000000">
              <w:rPr>
                <w:rtl w:val="0"/>
              </w:rPr>
              <w:t xml:space="preserve"> apakšpunktā minētajos pasākumos vai atbalsta to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40. punktu ar skaidrojumu kā tiks segtas ārvalstu komandējuma izmaksas apmācību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41.15.1. par komercdarbības atbalsta nosacījumu ievērošanu, kā arī pārliecināties, ka apmācāmais ir darba devēja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projekta 41.15.1. punktā dzēst normatīvā regulējuma piedāvāto redakciju “kā arī pārliecināties, ka apmācāmais ir darba devēja darbinieks”,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nosacījums rada papildus administratīvo slogu finansējuma saņēmējam un palielina birokrātīju gan projekta īstenošanā, gan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saņēmējam nav pieejas tādai datu bāzei, kurā par to varētu pārliecināties,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uzņēmums, iesniedzot finansējuma saņēmējam gala labuma guvēja pieteikumu, apliecina, ka apmācībās tiks iesaistīti tikai tie darbinieki ar kuriem uzņēmums ir darba tiesiskās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41.15.3. par sasniegto atskaites punktu un mērķu pamatojošo dokumentāciju un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vai arī precizēt noteikumu projekta 41.15.3. punkta redakciju, jo nav saprotams, ko šādā pārbaudē ir nepieciešams pārbaudīt un kas tiks uzskatīts par pietiekošu pamatojumu sasniegto atskaites punktu un mērķu pamatojošo dokumentu un datu ticamībai.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41.24. nodrošināt informācijas un publicitātes pasākumus saskaņā ar Komisijas regulas Nr. 2021/1060 47. un 50. pantu un normatīvajiem aktiem, kas nosaka kārtību, kādā Eiropas Savienības fondu vadībā iesaistītās institūcijas nodrošina šo fondu ieviešanu 2021.–2027. gada plānošanas periodā,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 noteikumu projekta 41.24.punkta dzēst normatīvā regulējuma redakciju “un mācībās iesaistītā darbinieka” un izteikt punktu šādā redakcijā “iesniegt Vadības informācijas sistēmā darba devēja parakstītu apliecinājumu par atļauju Ekonomikas ministrijai izmantot šo noteikumu 41.2. apakšpunktā noteiktos datus analītikas veikšanai un šo noteikumu 17. punktā rādītāju sasniegšanas uzraudzībai. Datu apstrāde un uzglabāšana notiek ievērojot Eiropas Savienības Vispārīgo datu aizsardzības regulu datu apstrādei un uzglabāšanai”.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25.01.2024.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25.01.2024.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