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23-TA-1206: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20. septembra noteikumos Nr. 618 "Tiesu informatīvās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tiek precizēta informācijas pieprasīšanas un saņemšanas kārtība, noteikti jauni pienākumi valsts un pašvaldību iestādēm attiecībā uz informācijas pieprasījumu sagatavošanu un pamatošanu (18. punkts), kā arī paredzēts pienākums izveidot un uzturēt iekšējās kontroles sistēmu datu apstrādes atbilstības nodrošināšanai (20.</w:t>
            </w:r>
            <w:r w:rsidR="00000000" w:rsidRPr="00000000" w:rsidDel="00000000">
              <w:rPr>
                <w:vertAlign w:val="superscript"/>
                <w:rtl w:val="0"/>
              </w:rPr>
              <w:t xml:space="preserve">5</w:t>
            </w:r>
            <w:r w:rsidR="00000000" w:rsidRPr="00000000" w:rsidDel="00000000">
              <w:rPr>
                <w:rtl w:val="0"/>
              </w:rPr>
              <w:t xml:space="preserve"> punkts), lūdzam anotācijā ietvert tiesību akta administratīvo un atbilstības izmaksu monetāro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noteikumu Nr. 617 “Tiesību akta projekta sākotnējās ietekmes izvērtēšanas kārtība” 15. punktam tiesību aktu projektos ir nepieciešams veikt administratīvo vai atbilstības izmaksu monetāru novērtējumu, ja tas paredz vai maina pienākumus, kuru izpildei nepieciešama konkrētu procesu nodrošināšana vai informācijas sagatavošana un iesniegšana.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OECD administratīvā sloga mazināšanas metodoloģijā (pieejams: https://oecd-opsi.org/wp-content/uploads/2019/12/admin_simplification_methodology_16.08.pdf) ir uzsvērts, ka iestādēm, izstrādājot tiesību aktu projektus, ir pienākums izvērtēt to ietekmi uz administratīvajām vai atbilstības izmaksām, jo jebkurš regulējums, kas ievieš strukturētus pienākumus vai procedūras, var radīt kvantitatīvi novērtējamu administratīvo slogu vai atbilstības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anotācijas 7. sadaļu, tostarp veicot atbilstošus administratīvo un atbilstības izmaksu aprēķinus. Skaidrojam, ka novērtējums par valsts vai pašvaldību institūcijām aizpildāms anotācijas 7. sadaļā. Administratīvo un atbilstības izmaksu monetārā novērtējuma veikšanai aicinām izmantot Vadlīnijās tiesību akta sākotnējās ietekmes novērtēšanai un novērtējuma ziņojuma sagatavošanai ietverto metodiku (22.–25. lpp.), piemērojot paplašināto standarta izmaksu modeli. Metodiskie materiāli aprēķinu veikšanai pieejami Ministru kabineta tīmekļvietnē sadaļā “Metodiskās rokasgrāmatas un apmācības”.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Kristiāna Bleive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23-TA-1206</w:t>
    </w:r>
    <w:r>
      <w:br/>
    </w:r>
    <w:r w:rsidR="00000000" w:rsidRPr="00000000" w:rsidDel="00000000">
      <w:rPr>
        <w:rtl w:val="0"/>
      </w:rPr>
      <w:t xml:space="preserve">Izdrukāts 24.04.2026. 17.20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23-TA-1206</w:t>
    </w:r>
    <w:r>
      <w:br/>
    </w:r>
    <w:r w:rsidR="00000000" w:rsidRPr="00000000" w:rsidDel="00000000">
      <w:rPr>
        <w:rtl w:val="0"/>
      </w:rPr>
      <w:t xml:space="preserve">Izdrukāts 24.04.2026. 17.20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Atzinumi_23-TA-1206.docx</dc:title>
</cp:coreProperties>
</file>

<file path=docProps/custom.xml><?xml version="1.0" encoding="utf-8"?>
<Properties xmlns="http://schemas.openxmlformats.org/officeDocument/2006/custom-properties" xmlns:vt="http://schemas.openxmlformats.org/officeDocument/2006/docPropsVTypes"/>
</file>