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Aizsardzības ministrijai uzņemties valsts budžeta ilgtermiņa saistības, lai nodrošinātu Latvijas iesaisti projektos un pasākumos Eiropas Komisijas tieši administrētajās programmās.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projektā atsauces uz Eiropas Savienības tiesību aktiem noformēt atbilstoši Ministru kabineta 2009. gada 3. februāra noteikumu Nr. 108 "</w:t>
            </w:r>
            <w:r w:rsidR="00000000" w:rsidRPr="00000000" w:rsidDel="00000000">
              <w:rPr>
                <w:i w:val="1"/>
                <w:rtl w:val="0"/>
              </w:rPr>
              <w:t xml:space="preserve">Normatīvo aktu projektu sagatavošanas noteikumi</w:t>
            </w:r>
            <w:r w:rsidR="00000000" w:rsidRPr="00000000" w:rsidDel="00000000">
              <w:rPr>
                <w:rtl w:val="0"/>
              </w:rPr>
              <w:t xml:space="preserve">” 170.-172. punktam, atsaucē uz Eiropas Savienības tiesību aktu norādot šādu informāciju: institūcija (Komisija, Padome, Eiropas Parlaments), kas izdevusi attiecīgo tiesību aktu; tiesību akta pieņemšanas datums; veids (regula, direktīva, lēmums); numurs un nosaukums atbilstoši tiesību akta nosaukumam latviešu valodā EUR-Lex datu bāzē.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Tiesību akta projekta atbilstība Latvijas Republikas starptautiskajām saistībām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anotācijas 5.4. sadaļas 1. tabulu attiecībā uz anotācijas 1.3. sadaļā skaidroto rīkojuma projekta sasaisti ar </w:t>
            </w:r>
            <w:r w:rsidR="00000000" w:rsidRPr="00000000" w:rsidDel="00000000">
              <w:rPr>
                <w:i w:val="1"/>
                <w:rtl w:val="0"/>
              </w:rPr>
              <w:t xml:space="preserve">Eiropas Parlamenta un Padomes 2024. gada 19. decembra Regulu (ES) 2025/38, kas nosaka pasākumus, kuri stiprina solidaritāti un spējas Savienībā atklāt kiberdraudus un incidentus, tiem sagatavoties un uz tiem reaģēt, un ar ko groza Regulu (ES) 2021/694</w:t>
            </w:r>
            <w:r w:rsidR="00000000" w:rsidRPr="00000000" w:rsidDel="00000000">
              <w:rPr>
                <w:rtl w:val="0"/>
              </w:rPr>
              <w:t xml:space="preserve">, kā arī ar </w:t>
            </w:r>
            <w:r w:rsidR="00000000" w:rsidRPr="00000000" w:rsidDel="00000000">
              <w:rPr>
                <w:i w:val="1"/>
                <w:rtl w:val="0"/>
              </w:rPr>
              <w:t xml:space="preserve">Eiropas Parlamenta un Padomes 2022. gada 14. decembra Direktīvu (ES) 2022/2555, ar ko paredz pasākumus nolūkā panākt vienādi augstu kiberdrošības līmeni visā Savienībā un ar ko groza Regulu (ES) Nr. 910/2014 un Direktīvu (ES) 2018/1972 un atceļ Direktīvu (ES) 2016/1148</w:t>
            </w:r>
            <w:r w:rsidR="00000000" w:rsidRPr="00000000" w:rsidDel="00000000">
              <w:rPr>
                <w:rtl w:val="0"/>
              </w:rPr>
              <w:t xml:space="preserve">. Alternatīvi, lūdzam, sniegt skaidrojumu anotācijas 5.3. sadaļā "Cita informācija".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26-TA-196</w:t>
    </w:r>
    <w:r>
      <w:br/>
    </w:r>
    <w:r w:rsidR="00000000" w:rsidRPr="00000000" w:rsidDel="00000000">
      <w:rPr>
        <w:rtl w:val="0"/>
      </w:rPr>
      <w:t xml:space="preserve">Izdrukāts 09.04.2026.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26-TA-196</w:t>
    </w:r>
    <w:r>
      <w:br/>
    </w:r>
    <w:r w:rsidR="00000000" w:rsidRPr="00000000" w:rsidDel="00000000">
      <w:rPr>
        <w:rtl w:val="0"/>
      </w:rPr>
      <w:t xml:space="preserve">Izdrukāts 09.04.2026.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